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widowControl/>
        <w:spacing w:line="360" w:lineRule="auto"/>
        <w:jc w:val="center"/>
        <w:rPr>
          <w:b/>
          <w:kern w:val="0"/>
          <w:sz w:val="30"/>
          <w:szCs w:val="30"/>
        </w:rPr>
      </w:pPr>
      <w:r>
        <w:rPr>
          <w:b/>
          <w:kern w:val="0"/>
          <w:sz w:val="30"/>
          <w:szCs w:val="30"/>
        </w:rPr>
        <w:t>食品学院</w:t>
      </w:r>
      <w:r>
        <w:rPr>
          <w:rFonts w:hint="eastAsia"/>
          <w:b/>
          <w:kern w:val="0"/>
          <w:sz w:val="30"/>
          <w:szCs w:val="30"/>
        </w:rPr>
        <w:t>2016年校级优秀研究生奖学金评选</w:t>
      </w:r>
      <w:r>
        <w:rPr>
          <w:b/>
          <w:kern w:val="0"/>
          <w:sz w:val="30"/>
          <w:szCs w:val="30"/>
        </w:rPr>
        <w:t>办法</w:t>
      </w:r>
    </w:p>
    <w:p>
      <w:pPr>
        <w:spacing w:before="156" w:beforeLines="50" w:line="360" w:lineRule="auto"/>
        <w:rPr>
          <w:szCs w:val="21"/>
        </w:rPr>
      </w:pPr>
      <w:r>
        <w:rPr>
          <w:rFonts w:hint="eastAsia"/>
          <w:szCs w:val="21"/>
          <w:lang w:val="en-US" w:eastAsia="zh-CN"/>
        </w:rPr>
        <w:t xml:space="preserve">    </w:t>
      </w:r>
      <w:r>
        <w:rPr>
          <w:szCs w:val="21"/>
        </w:rPr>
        <w:t>为了科学、全面、客观地</w:t>
      </w:r>
      <w:r>
        <w:rPr>
          <w:rFonts w:hint="eastAsia"/>
          <w:szCs w:val="21"/>
        </w:rPr>
        <w:t>考核</w:t>
      </w:r>
      <w:r>
        <w:rPr>
          <w:szCs w:val="21"/>
        </w:rPr>
        <w:t>研究生在校期间的综合</w:t>
      </w:r>
      <w:r>
        <w:rPr>
          <w:rFonts w:hint="eastAsia"/>
          <w:szCs w:val="21"/>
        </w:rPr>
        <w:t>素质</w:t>
      </w:r>
      <w:r>
        <w:rPr>
          <w:szCs w:val="21"/>
        </w:rPr>
        <w:t>，促进研究生思想道德素质、科学文化素质和身心健康素质协调发展，引导研究生勤于学习、善于创造、甘于奉献，成为有理想、有道德、有文化、有纪律的社会主义新人，成为合格的社会主义建设者和可靠接班人，根据我院研究生培养的实际情况，特制定本办法。</w:t>
      </w:r>
    </w:p>
    <w:p>
      <w:pPr>
        <w:spacing w:before="156" w:beforeLines="50" w:after="156" w:afterLines="50" w:line="360" w:lineRule="auto"/>
        <w:ind w:firstLine="420"/>
        <w:outlineLvl w:val="0"/>
        <w:rPr>
          <w:b/>
          <w:sz w:val="24"/>
        </w:rPr>
      </w:pPr>
      <w:r>
        <w:rPr>
          <w:b/>
          <w:sz w:val="24"/>
        </w:rPr>
        <w:t>一、综合素质测评指标体系</w:t>
      </w:r>
      <w:r>
        <w:rPr>
          <w:rFonts w:hint="eastAsia"/>
          <w:b/>
          <w:sz w:val="24"/>
        </w:rPr>
        <w:t>和评分标准</w:t>
      </w:r>
    </w:p>
    <w:p>
      <w:pPr>
        <w:spacing w:before="156" w:beforeLines="50" w:after="156" w:afterLines="50" w:line="360" w:lineRule="auto"/>
        <w:ind w:firstLine="420"/>
        <w:outlineLvl w:val="0"/>
        <w:rPr>
          <w:b/>
          <w:sz w:val="24"/>
        </w:rPr>
      </w:pPr>
      <w:r>
        <w:rPr>
          <w:b/>
          <w:sz w:val="24"/>
        </w:rPr>
        <w:t>（一）综合素质测评指标体系</w:t>
      </w:r>
    </w:p>
    <w:p>
      <w:pPr>
        <w:spacing w:line="360" w:lineRule="auto"/>
        <w:ind w:firstLine="420"/>
        <w:rPr>
          <w:szCs w:val="21"/>
        </w:rPr>
      </w:pPr>
      <w:r>
        <w:rPr>
          <w:rFonts w:hint="eastAsia"/>
          <w:szCs w:val="21"/>
        </w:rPr>
        <w:t>综合测评</w:t>
      </w:r>
      <w:r>
        <w:rPr>
          <w:rFonts w:hint="eastAsia"/>
          <w:szCs w:val="21"/>
          <w:lang w:eastAsia="zh-CN"/>
        </w:rPr>
        <w:t>采用</w:t>
      </w:r>
      <w:r>
        <w:rPr>
          <w:rFonts w:hint="eastAsia"/>
          <w:szCs w:val="21"/>
        </w:rPr>
        <w:t>量化形式，对学生在</w:t>
      </w:r>
      <w:r>
        <w:rPr>
          <w:rFonts w:hint="eastAsia"/>
          <w:szCs w:val="21"/>
          <w:lang w:eastAsia="zh-CN"/>
        </w:rPr>
        <w:t>参评年度</w:t>
      </w:r>
      <w:r>
        <w:rPr>
          <w:rFonts w:hint="eastAsia"/>
          <w:szCs w:val="21"/>
        </w:rPr>
        <w:t>的综合表现进行全面考核。测评包括德育评分、智育评分及体育评分，满分为100分。</w:t>
      </w:r>
    </w:p>
    <w:tbl>
      <w:tblPr>
        <w:tblStyle w:val="6"/>
        <w:tblW w:w="83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3"/>
        <w:gridCol w:w="60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2263" w:type="dxa"/>
            <w:vMerge w:val="restart"/>
            <w:tcBorders>
              <w:tl2br w:val="single" w:color="auto" w:sz="4" w:space="0"/>
            </w:tcBorders>
          </w:tcPr>
          <w:p>
            <w:pPr>
              <w:tabs>
                <w:tab w:val="right" w:pos="1914"/>
              </w:tabs>
              <w:spacing w:line="360" w:lineRule="auto"/>
              <w:jc w:val="left"/>
              <w:rPr>
                <w:bCs/>
                <w:szCs w:val="21"/>
              </w:rPr>
            </w:pPr>
            <w:r>
              <w:rPr>
                <w:bCs/>
                <w:szCs w:val="21"/>
              </w:rPr>
              <w:tab/>
            </w:r>
            <w:r>
              <w:rPr>
                <w:rFonts w:hint="eastAsia"/>
                <w:bCs/>
                <w:szCs w:val="21"/>
              </w:rPr>
              <w:t xml:space="preserve"> 年级</w:t>
            </w:r>
          </w:p>
          <w:p>
            <w:pPr>
              <w:tabs>
                <w:tab w:val="right" w:pos="1914"/>
              </w:tabs>
              <w:spacing w:line="360" w:lineRule="auto"/>
              <w:jc w:val="left"/>
              <w:rPr>
                <w:bCs/>
                <w:szCs w:val="21"/>
              </w:rPr>
            </w:pPr>
            <w:r>
              <w:rPr>
                <w:rFonts w:hint="eastAsia"/>
                <w:bCs/>
                <w:szCs w:val="21"/>
              </w:rPr>
              <w:t>类别</w:t>
            </w:r>
          </w:p>
        </w:tc>
        <w:tc>
          <w:tcPr>
            <w:tcW w:w="6096" w:type="dxa"/>
            <w:tcBorders>
              <w:bottom w:val="single" w:color="auto" w:sz="4" w:space="0"/>
            </w:tcBorders>
          </w:tcPr>
          <w:p>
            <w:pPr>
              <w:spacing w:line="360" w:lineRule="auto"/>
              <w:jc w:val="center"/>
              <w:rPr>
                <w:b/>
                <w:szCs w:val="21"/>
              </w:rPr>
            </w:pPr>
            <w:r>
              <w:rPr>
                <w:rFonts w:hint="eastAsia"/>
                <w:b/>
                <w:szCs w:val="21"/>
              </w:rPr>
              <w:t>2</w:t>
            </w:r>
            <w:r>
              <w:rPr>
                <w:b/>
                <w:szCs w:val="21"/>
              </w:rPr>
              <w:t>013级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5" w:hRule="atLeast"/>
          <w:jc w:val="center"/>
        </w:trPr>
        <w:tc>
          <w:tcPr>
            <w:tcW w:w="2263" w:type="dxa"/>
            <w:vMerge w:val="continue"/>
            <w:tcBorders>
              <w:tl2br w:val="single" w:color="auto" w:sz="4" w:space="0"/>
            </w:tcBorders>
          </w:tcPr>
          <w:p>
            <w:pPr>
              <w:tabs>
                <w:tab w:val="right" w:pos="1914"/>
              </w:tabs>
              <w:spacing w:line="360" w:lineRule="auto"/>
              <w:jc w:val="center"/>
              <w:rPr>
                <w:bCs/>
                <w:szCs w:val="21"/>
              </w:rPr>
            </w:pPr>
          </w:p>
        </w:tc>
        <w:tc>
          <w:tcPr>
            <w:tcW w:w="6096" w:type="dxa"/>
            <w:tcBorders>
              <w:top w:val="single" w:color="auto" w:sz="4" w:space="0"/>
            </w:tcBorders>
          </w:tcPr>
          <w:p>
            <w:pPr>
              <w:spacing w:line="360" w:lineRule="auto"/>
              <w:jc w:val="center"/>
              <w:rPr>
                <w:bCs/>
                <w:szCs w:val="21"/>
              </w:rPr>
            </w:pPr>
            <w:r>
              <w:rPr>
                <w:rFonts w:hint="eastAsia"/>
                <w:bCs/>
                <w:szCs w:val="21"/>
              </w:rPr>
              <w:t>硕、博士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4" w:hRule="atLeast"/>
          <w:jc w:val="center"/>
        </w:trPr>
        <w:tc>
          <w:tcPr>
            <w:tcW w:w="2263" w:type="dxa"/>
          </w:tcPr>
          <w:p>
            <w:pPr>
              <w:spacing w:line="360" w:lineRule="auto"/>
              <w:jc w:val="center"/>
              <w:rPr>
                <w:bCs/>
                <w:szCs w:val="21"/>
              </w:rPr>
            </w:pPr>
            <w:r>
              <w:rPr>
                <w:rFonts w:hint="eastAsia"/>
                <w:bCs/>
                <w:szCs w:val="21"/>
              </w:rPr>
              <w:t>德育（满分</w:t>
            </w:r>
            <w:r>
              <w:rPr>
                <w:rFonts w:hint="eastAsia"/>
                <w:b/>
                <w:szCs w:val="21"/>
              </w:rPr>
              <w:t>32</w:t>
            </w:r>
            <w:r>
              <w:rPr>
                <w:rFonts w:hint="eastAsia"/>
                <w:bCs/>
                <w:szCs w:val="21"/>
              </w:rPr>
              <w:t>分）</w:t>
            </w:r>
          </w:p>
        </w:tc>
        <w:tc>
          <w:tcPr>
            <w:tcW w:w="6096" w:type="dxa"/>
          </w:tcPr>
          <w:p>
            <w:pPr>
              <w:spacing w:line="360" w:lineRule="auto"/>
              <w:jc w:val="center"/>
              <w:rPr>
                <w:bCs/>
                <w:szCs w:val="21"/>
              </w:rPr>
            </w:pPr>
            <w:r>
              <w:rPr>
                <w:rFonts w:hint="eastAsia"/>
                <w:bCs/>
                <w:szCs w:val="21"/>
              </w:rPr>
              <w:t>基础分</w:t>
            </w:r>
            <w:r>
              <w:rPr>
                <w:rFonts w:hint="eastAsia"/>
                <w:b/>
                <w:szCs w:val="21"/>
              </w:rPr>
              <w:t>14</w:t>
            </w:r>
            <w:r>
              <w:rPr>
                <w:rFonts w:hint="eastAsia"/>
                <w:bCs/>
                <w:szCs w:val="21"/>
              </w:rPr>
              <w:t xml:space="preserve"> + 班内互评</w:t>
            </w:r>
            <w:r>
              <w:rPr>
                <w:rFonts w:hint="eastAsia"/>
                <w:b/>
                <w:szCs w:val="21"/>
              </w:rPr>
              <w:t xml:space="preserve">10 </w:t>
            </w:r>
            <w:r>
              <w:rPr>
                <w:rFonts w:hint="eastAsia"/>
                <w:bCs/>
                <w:szCs w:val="21"/>
              </w:rPr>
              <w:t>+加分（不超过8分）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 w:hRule="atLeast"/>
          <w:jc w:val="center"/>
        </w:trPr>
        <w:tc>
          <w:tcPr>
            <w:tcW w:w="2263" w:type="dxa"/>
            <w:tcBorders>
              <w:bottom w:val="single" w:color="auto" w:sz="4" w:space="0"/>
            </w:tcBorders>
          </w:tcPr>
          <w:p>
            <w:pPr>
              <w:spacing w:line="360" w:lineRule="auto"/>
              <w:jc w:val="center"/>
              <w:rPr>
                <w:bCs/>
                <w:szCs w:val="21"/>
              </w:rPr>
            </w:pPr>
            <w:r>
              <w:rPr>
                <w:rFonts w:hint="eastAsia"/>
                <w:bCs/>
                <w:szCs w:val="21"/>
              </w:rPr>
              <w:t>智育（满分</w:t>
            </w:r>
            <w:r>
              <w:rPr>
                <w:rFonts w:hint="eastAsia"/>
                <w:b/>
                <w:szCs w:val="21"/>
              </w:rPr>
              <w:t>60</w:t>
            </w:r>
            <w:r>
              <w:rPr>
                <w:rFonts w:hint="eastAsia"/>
                <w:bCs/>
                <w:szCs w:val="21"/>
              </w:rPr>
              <w:t>分）</w:t>
            </w:r>
          </w:p>
        </w:tc>
        <w:tc>
          <w:tcPr>
            <w:tcW w:w="6096" w:type="dxa"/>
            <w:tcBorders>
              <w:bottom w:val="single" w:color="auto" w:sz="4" w:space="0"/>
            </w:tcBorders>
          </w:tcPr>
          <w:p>
            <w:pPr>
              <w:spacing w:line="360" w:lineRule="auto"/>
              <w:jc w:val="center"/>
              <w:rPr>
                <w:bCs/>
                <w:szCs w:val="21"/>
              </w:rPr>
            </w:pPr>
            <w:r>
              <w:rPr>
                <w:rFonts w:hint="eastAsia"/>
                <w:bCs/>
                <w:szCs w:val="21"/>
              </w:rPr>
              <w:t>加分（不超过</w:t>
            </w:r>
            <w:r>
              <w:rPr>
                <w:bCs/>
                <w:szCs w:val="21"/>
              </w:rPr>
              <w:t>6</w:t>
            </w:r>
            <w:r>
              <w:rPr>
                <w:rFonts w:hint="eastAsia"/>
                <w:bCs/>
                <w:szCs w:val="21"/>
              </w:rPr>
              <w:t>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5" w:hRule="atLeast"/>
          <w:jc w:val="center"/>
        </w:trPr>
        <w:tc>
          <w:tcPr>
            <w:tcW w:w="2263" w:type="dxa"/>
            <w:tcBorders>
              <w:top w:val="single" w:color="auto" w:sz="4" w:space="0"/>
            </w:tcBorders>
          </w:tcPr>
          <w:p>
            <w:pPr>
              <w:spacing w:line="360" w:lineRule="auto"/>
              <w:jc w:val="center"/>
              <w:rPr>
                <w:bCs/>
                <w:szCs w:val="21"/>
              </w:rPr>
            </w:pPr>
            <w:r>
              <w:rPr>
                <w:rFonts w:hint="eastAsia"/>
                <w:bCs/>
                <w:szCs w:val="21"/>
              </w:rPr>
              <w:t>体育（满分</w:t>
            </w:r>
            <w:r>
              <w:rPr>
                <w:rFonts w:hint="eastAsia"/>
                <w:b/>
                <w:szCs w:val="21"/>
              </w:rPr>
              <w:t>8</w:t>
            </w:r>
            <w:r>
              <w:rPr>
                <w:rFonts w:hint="eastAsia"/>
                <w:bCs/>
                <w:szCs w:val="21"/>
              </w:rPr>
              <w:t>分）</w:t>
            </w:r>
          </w:p>
        </w:tc>
        <w:tc>
          <w:tcPr>
            <w:tcW w:w="6096" w:type="dxa"/>
            <w:tcBorders>
              <w:top w:val="single" w:color="auto" w:sz="4" w:space="0"/>
              <w:bottom w:val="single" w:color="auto" w:sz="4" w:space="0"/>
            </w:tcBorders>
          </w:tcPr>
          <w:p>
            <w:pPr>
              <w:spacing w:line="360" w:lineRule="auto"/>
              <w:jc w:val="center"/>
              <w:rPr>
                <w:bCs/>
                <w:szCs w:val="21"/>
              </w:rPr>
            </w:pPr>
            <w:r>
              <w:rPr>
                <w:rFonts w:hint="eastAsia"/>
                <w:bCs/>
                <w:szCs w:val="21"/>
              </w:rPr>
              <w:t>基础分</w:t>
            </w:r>
            <w:r>
              <w:rPr>
                <w:rFonts w:hint="eastAsia"/>
                <w:b/>
                <w:szCs w:val="21"/>
              </w:rPr>
              <w:t>4</w:t>
            </w:r>
            <w:r>
              <w:rPr>
                <w:rFonts w:hint="eastAsia"/>
                <w:bCs/>
                <w:szCs w:val="21"/>
              </w:rPr>
              <w:t xml:space="preserve"> +加分（不超过4分）</w:t>
            </w:r>
          </w:p>
        </w:tc>
      </w:tr>
    </w:tbl>
    <w:p>
      <w:pPr>
        <w:spacing w:line="360" w:lineRule="auto"/>
        <w:ind w:firstLine="435"/>
        <w:rPr>
          <w:b/>
          <w:bCs/>
          <w:sz w:val="24"/>
        </w:rPr>
      </w:pPr>
      <w:r>
        <w:rPr>
          <w:rFonts w:hint="eastAsia"/>
          <w:b/>
          <w:bCs/>
          <w:sz w:val="24"/>
        </w:rPr>
        <w:t>1</w:t>
      </w:r>
      <w:r>
        <w:rPr>
          <w:rFonts w:hint="eastAsia" w:ascii="宋体" w:hAnsi="宋体"/>
          <w:b/>
          <w:bCs/>
          <w:sz w:val="24"/>
        </w:rPr>
        <w:t>、德育评分</w:t>
      </w:r>
      <w:r>
        <w:rPr>
          <w:b/>
          <w:bCs/>
          <w:sz w:val="24"/>
        </w:rPr>
        <w:t>（</w:t>
      </w:r>
      <w:r>
        <w:rPr>
          <w:rFonts w:hint="eastAsia"/>
          <w:b/>
          <w:bCs/>
          <w:sz w:val="24"/>
        </w:rPr>
        <w:t>满分32</w:t>
      </w:r>
      <w:r>
        <w:rPr>
          <w:b/>
          <w:bCs/>
          <w:sz w:val="24"/>
        </w:rPr>
        <w:t>分）</w:t>
      </w:r>
    </w:p>
    <w:p>
      <w:pPr>
        <w:spacing w:line="360" w:lineRule="auto"/>
        <w:ind w:firstLine="420"/>
        <w:rPr>
          <w:szCs w:val="21"/>
        </w:rPr>
      </w:pPr>
      <w:r>
        <w:rPr>
          <w:rFonts w:hint="eastAsia"/>
          <w:szCs w:val="21"/>
        </w:rPr>
        <w:t>（1</w:t>
      </w:r>
      <w:r>
        <w:rPr>
          <w:rFonts w:hint="eastAsia" w:ascii="宋体" w:hAnsi="宋体"/>
          <w:szCs w:val="21"/>
        </w:rPr>
        <w:t>）基础分（满分</w:t>
      </w:r>
      <w:r>
        <w:rPr>
          <w:rFonts w:hint="eastAsia"/>
          <w:szCs w:val="21"/>
        </w:rPr>
        <w:t>14</w:t>
      </w:r>
      <w:r>
        <w:rPr>
          <w:rFonts w:hint="eastAsia" w:ascii="宋体" w:hAnsi="宋体"/>
          <w:szCs w:val="21"/>
        </w:rPr>
        <w:t>分）</w:t>
      </w:r>
      <w:r>
        <w:rPr>
          <w:szCs w:val="21"/>
        </w:rPr>
        <w:t>：具有坚定的社会主义信念，强烈的爱国主义精神，高度的社会责任感，良好的社会公德心，良好的科研道德和唯实、求真、协作、创新品德，党团员按时参加党团组织生活和政治学习，尊敬师长，作风正派者，得</w:t>
      </w:r>
      <w:r>
        <w:rPr>
          <w:rFonts w:hint="eastAsia"/>
          <w:szCs w:val="21"/>
        </w:rPr>
        <w:t>基础分14</w:t>
      </w:r>
      <w:r>
        <w:rPr>
          <w:szCs w:val="21"/>
        </w:rPr>
        <w:t>分。</w:t>
      </w:r>
    </w:p>
    <w:p>
      <w:pPr>
        <w:widowControl/>
        <w:spacing w:line="360" w:lineRule="auto"/>
        <w:ind w:firstLine="420"/>
        <w:jc w:val="left"/>
        <w:rPr>
          <w:szCs w:val="21"/>
        </w:rPr>
      </w:pPr>
      <w:r>
        <w:rPr>
          <w:rFonts w:hint="eastAsia"/>
          <w:szCs w:val="21"/>
        </w:rPr>
        <w:t>（2</w:t>
      </w:r>
      <w:r>
        <w:rPr>
          <w:rFonts w:hint="eastAsia" w:ascii="宋体" w:hAnsi="宋体"/>
          <w:szCs w:val="21"/>
        </w:rPr>
        <w:t>）班内互评（满分</w:t>
      </w:r>
      <w:r>
        <w:rPr>
          <w:rFonts w:hint="eastAsia"/>
          <w:szCs w:val="21"/>
        </w:rPr>
        <w:t>10</w:t>
      </w:r>
      <w:r>
        <w:rPr>
          <w:rFonts w:hint="eastAsia" w:ascii="宋体" w:hAnsi="宋体"/>
          <w:szCs w:val="21"/>
        </w:rPr>
        <w:t>分）：针对学生的思想道德状况，如文明有礼、诚实守信、关心同学、与人为善、富有团队精神及合作意识、关心班集体等表现，学生班内成员开展互评，结合学生本人自我评价，计算出学生班内互评得分。计算公式如下：</w:t>
      </w:r>
    </w:p>
    <w:p>
      <w:pPr>
        <w:widowControl/>
        <w:spacing w:line="360" w:lineRule="auto"/>
        <w:ind w:firstLine="420" w:firstLineChars="200"/>
        <w:jc w:val="left"/>
        <w:rPr>
          <w:szCs w:val="21"/>
        </w:rPr>
      </w:pPr>
      <w:r>
        <w:rPr>
          <w:rFonts w:hint="eastAsia"/>
          <w:szCs w:val="21"/>
        </w:rPr>
        <w:t>班内互评分＝</w:t>
      </w:r>
      <w:r>
        <w:rPr>
          <w:szCs w:val="21"/>
        </w:rPr>
        <w:fldChar w:fldCharType="begin"/>
      </w:r>
      <w:r>
        <w:rPr>
          <w:szCs w:val="21"/>
        </w:rPr>
        <w:instrText xml:space="preserve">INCLUDEPICTURE "../../Local%20Settings/Temp/ksohtml/wpsAC8.tmp.png" \* MERGEFORMAT </w:instrText>
      </w:r>
      <w:r>
        <w:rPr>
          <w:szCs w:val="21"/>
        </w:rPr>
        <w:fldChar w:fldCharType="separate"/>
      </w:r>
      <w:r>
        <w:rPr>
          <w:szCs w:val="21"/>
        </w:rPr>
        <w:fldChar w:fldCharType="begin"/>
      </w:r>
      <w:r>
        <w:rPr>
          <w:szCs w:val="21"/>
        </w:rPr>
        <w:instrText xml:space="preserve"> INCLUDEPICTURE  "C:\\Users\\Alan\\Desktop\\Local Settings\\Temp\\ksohtml\\wpsAC8.tmp.png" \* MERGEFORMATINET </w:instrText>
      </w:r>
      <w:r>
        <w:rPr>
          <w:szCs w:val="21"/>
        </w:rPr>
        <w:fldChar w:fldCharType="separate"/>
      </w:r>
      <w:r>
        <w:rPr>
          <w:szCs w:val="21"/>
        </w:rPr>
        <w:fldChar w:fldCharType="begin"/>
      </w:r>
      <w:r>
        <w:rPr>
          <w:szCs w:val="21"/>
        </w:rPr>
        <w:instrText xml:space="preserve"> INCLUDEPICTURE  "C:\\Users\\Alan\\Desktop\\Local Settings\\Temp\\ksohtml\\wpsAC8.tmp.png" \* MERGEFORMATINET </w:instrText>
      </w:r>
      <w:r>
        <w:rPr>
          <w:szCs w:val="21"/>
        </w:rPr>
        <w:fldChar w:fldCharType="separate"/>
      </w:r>
      <w:r>
        <w:rPr>
          <w:szCs w:val="21"/>
        </w:rPr>
        <w:fldChar w:fldCharType="begin"/>
      </w:r>
      <w:r>
        <w:rPr>
          <w:szCs w:val="21"/>
        </w:rPr>
        <w:instrText xml:space="preserve"> INCLUDEPICTURE  "C:\\Users\\Alan\\Desktop\\Local Settings\\Temp\\ksohtml\\wpsAC8.tmp.png" \* MERGEFORMATINET </w:instrText>
      </w:r>
      <w:r>
        <w:rPr>
          <w:szCs w:val="21"/>
        </w:rPr>
        <w:fldChar w:fldCharType="separate"/>
      </w:r>
      <w:r>
        <w:rPr>
          <w:szCs w:val="21"/>
        </w:rPr>
        <w:fldChar w:fldCharType="begin"/>
      </w:r>
      <w:r>
        <w:rPr>
          <w:szCs w:val="21"/>
        </w:rPr>
        <w:instrText xml:space="preserve"> INCLUDEPICTURE  "C:\\Users\\Alan\\Desktop\\Local Settings\\Temp\\ksohtml\\wpsAC8.tmp.png" \* MERGEFORMATINET </w:instrText>
      </w:r>
      <w:r>
        <w:rPr>
          <w:szCs w:val="21"/>
        </w:rPr>
        <w:fldChar w:fldCharType="separate"/>
      </w:r>
      <w:r>
        <w:rPr>
          <w:szCs w:val="21"/>
        </w:rPr>
        <w:fldChar w:fldCharType="begin"/>
      </w:r>
      <w:r>
        <w:rPr>
          <w:szCs w:val="21"/>
        </w:rPr>
        <w:instrText xml:space="preserve"> </w:instrText>
      </w:r>
      <w:r>
        <w:rPr>
          <w:rFonts w:hint="eastAsia"/>
          <w:szCs w:val="21"/>
        </w:rPr>
        <w:instrText xml:space="preserve">INCLUDEPICTURE  "C:\\Users\\Alan\\Desktop\\10月8日 奖学金\\Local Settings\\Temp\\ksohtml\\wpsAC8.tmp.png" \* MERGEFORMATINET</w:instrText>
      </w:r>
      <w:r>
        <w:rPr>
          <w:szCs w:val="21"/>
        </w:rPr>
        <w:instrText xml:space="preserve"> </w:instrText>
      </w:r>
      <w:r>
        <w:rPr>
          <w:szCs w:val="21"/>
        </w:rPr>
        <w:fldChar w:fldCharType="separate"/>
      </w:r>
      <w:r>
        <w:rPr>
          <w:szCs w:val="21"/>
        </w:rPr>
        <w:fldChar w:fldCharType="begin"/>
      </w:r>
      <w:r>
        <w:rPr>
          <w:szCs w:val="21"/>
        </w:rPr>
        <w:instrText xml:space="preserve"> </w:instrText>
      </w:r>
      <w:r>
        <w:rPr>
          <w:rFonts w:hint="eastAsia"/>
          <w:szCs w:val="21"/>
        </w:rPr>
        <w:instrText xml:space="preserve">INCLUDEPICTURE  "C:\\Users\\Alan\\Desktop\\10月8日 奖学金\\Local Settings\\Temp\\ksohtml\\wpsAC8.tmp.png" \* MERGEFORMATINET</w:instrText>
      </w:r>
      <w:r>
        <w:rPr>
          <w:szCs w:val="21"/>
        </w:rPr>
        <w:instrText xml:space="preserve"> </w:instrText>
      </w:r>
      <w:r>
        <w:rPr>
          <w:szCs w:val="21"/>
        </w:rPr>
        <w:fldChar w:fldCharType="separate"/>
      </w:r>
      <w:r>
        <w:rPr>
          <w:szCs w:val="21"/>
        </w:rPr>
        <w:fldChar w:fldCharType="begin"/>
      </w:r>
      <w:r>
        <w:rPr>
          <w:szCs w:val="21"/>
        </w:rPr>
        <w:instrText xml:space="preserve"> </w:instrText>
      </w:r>
      <w:r>
        <w:rPr>
          <w:rFonts w:hint="eastAsia"/>
          <w:szCs w:val="21"/>
        </w:rPr>
        <w:instrText xml:space="preserve">INCLUDEPICTURE  "C:\\Users\\Alan\\Desktop\\10月8日 奖学金\\Local Settings\\Temp\\ksohtml\\wpsAC8.tmp.png" \* MERGEFORMATINET</w:instrText>
      </w:r>
      <w:r>
        <w:rPr>
          <w:szCs w:val="21"/>
        </w:rPr>
        <w:instrText xml:space="preserve"> </w:instrText>
      </w:r>
      <w:r>
        <w:rPr>
          <w:szCs w:val="21"/>
        </w:rPr>
        <w:fldChar w:fldCharType="separate"/>
      </w:r>
      <w:r>
        <w:rPr>
          <w:szCs w:val="21"/>
        </w:rPr>
        <w:fldChar w:fldCharType="begin"/>
      </w:r>
      <w:r>
        <w:rPr>
          <w:szCs w:val="21"/>
        </w:rPr>
        <w:instrText xml:space="preserve"> </w:instrText>
      </w:r>
      <w:r>
        <w:rPr>
          <w:rFonts w:hint="eastAsia"/>
          <w:szCs w:val="21"/>
        </w:rPr>
        <w:instrText xml:space="preserve">INCLUDEPICTURE  "C:\\Documents and Settings\\Administrator\\桌面\\Local Settings\\Temp\\ksohtml\\wpsAC8.tmp.png" \* MERGEFORMATINET</w:instrText>
      </w:r>
      <w:r>
        <w:rPr>
          <w:szCs w:val="21"/>
        </w:rPr>
        <w:instrText xml:space="preserve"> </w:instrText>
      </w:r>
      <w:r>
        <w:rPr>
          <w:szCs w:val="21"/>
        </w:rPr>
        <w:fldChar w:fldCharType="separate"/>
      </w:r>
      <w:r>
        <w:rPr>
          <w:szCs w:val="21"/>
        </w:rPr>
        <w:pict>
          <v:shape id="_x0000_i1025" o:spt="75" type="#_x0000_t75" style="height:33pt;width:149.25pt;" filled="f" o:preferrelative="t" stroked="f" coordsize="21600,21600">
            <v:path/>
            <v:fill on="f" focussize="0,0"/>
            <v:stroke on="f" joinstyle="miter"/>
            <v:imagedata r:id="rId6" r:href="rId7" o:title=""/>
            <o:lock v:ext="edit" aspectratio="t"/>
            <w10:wrap type="none"/>
            <w10:anchorlock/>
          </v:shape>
        </w:pict>
      </w:r>
      <w:r>
        <w:rPr>
          <w:szCs w:val="21"/>
        </w:rPr>
        <w:fldChar w:fldCharType="end"/>
      </w:r>
      <w:r>
        <w:rPr>
          <w:szCs w:val="21"/>
        </w:rPr>
        <w:fldChar w:fldCharType="end"/>
      </w:r>
      <w:r>
        <w:rPr>
          <w:szCs w:val="21"/>
        </w:rPr>
        <w:fldChar w:fldCharType="end"/>
      </w:r>
      <w:r>
        <w:rPr>
          <w:szCs w:val="21"/>
        </w:rPr>
        <w:fldChar w:fldCharType="end"/>
      </w:r>
      <w:r>
        <w:rPr>
          <w:szCs w:val="21"/>
        </w:rPr>
        <w:fldChar w:fldCharType="end"/>
      </w:r>
      <w:r>
        <w:rPr>
          <w:szCs w:val="21"/>
        </w:rPr>
        <w:fldChar w:fldCharType="end"/>
      </w:r>
      <w:r>
        <w:rPr>
          <w:szCs w:val="21"/>
        </w:rPr>
        <w:fldChar w:fldCharType="end"/>
      </w:r>
      <w:r>
        <w:rPr>
          <w:szCs w:val="21"/>
        </w:rPr>
        <w:fldChar w:fldCharType="end"/>
      </w:r>
      <w:r>
        <w:rPr>
          <w:szCs w:val="21"/>
        </w:rPr>
        <w:fldChar w:fldCharType="end"/>
      </w:r>
    </w:p>
    <w:p>
      <w:pPr>
        <w:widowControl/>
        <w:spacing w:line="360" w:lineRule="auto"/>
        <w:ind w:firstLine="420" w:firstLineChars="200"/>
        <w:jc w:val="left"/>
        <w:rPr>
          <w:szCs w:val="21"/>
        </w:rPr>
      </w:pPr>
      <w:r>
        <w:rPr>
          <w:rFonts w:hint="eastAsia"/>
          <w:szCs w:val="21"/>
        </w:rPr>
        <w:t>班内互评分最高分为10</w:t>
      </w:r>
      <w:r>
        <w:rPr>
          <w:rFonts w:hint="eastAsia" w:ascii="宋体" w:hAnsi="宋体"/>
          <w:szCs w:val="21"/>
        </w:rPr>
        <w:t>分。</w:t>
      </w:r>
    </w:p>
    <w:p>
      <w:pPr>
        <w:spacing w:line="360" w:lineRule="auto"/>
        <w:ind w:firstLine="420"/>
        <w:rPr>
          <w:rFonts w:ascii="宋体" w:hAnsi="宋体"/>
          <w:szCs w:val="21"/>
        </w:rPr>
      </w:pPr>
      <w:r>
        <w:rPr>
          <w:rFonts w:hint="eastAsia"/>
          <w:szCs w:val="21"/>
        </w:rPr>
        <w:t>（3</w:t>
      </w:r>
      <w:r>
        <w:rPr>
          <w:rFonts w:hint="eastAsia" w:ascii="宋体" w:hAnsi="宋体"/>
          <w:szCs w:val="21"/>
        </w:rPr>
        <w:t>）</w:t>
      </w:r>
      <w:r>
        <w:rPr>
          <w:szCs w:val="21"/>
        </w:rPr>
        <w:t>加分及条件</w:t>
      </w:r>
      <w:r>
        <w:rPr>
          <w:rFonts w:hint="eastAsia"/>
          <w:szCs w:val="21"/>
        </w:rPr>
        <w:t>（满分8</w:t>
      </w:r>
      <w:r>
        <w:rPr>
          <w:rFonts w:hint="eastAsia" w:ascii="宋体" w:hAnsi="宋体"/>
          <w:szCs w:val="21"/>
        </w:rPr>
        <w:t>分）</w:t>
      </w:r>
    </w:p>
    <w:p>
      <w:pPr>
        <w:spacing w:line="360" w:lineRule="auto"/>
        <w:ind w:firstLine="420"/>
        <w:rPr>
          <w:rFonts w:ascii="宋体" w:hAnsi="宋体"/>
          <w:szCs w:val="21"/>
        </w:rPr>
      </w:pPr>
      <w:r>
        <w:rPr>
          <w:rFonts w:hint="eastAsia" w:ascii="宋体" w:hAnsi="宋体"/>
          <w:szCs w:val="21"/>
        </w:rPr>
        <w:t xml:space="preserve">① </w:t>
      </w:r>
      <w:r>
        <w:rPr>
          <w:szCs w:val="21"/>
        </w:rPr>
        <w:t>助人为乐，拾金不昧，见义勇为，积极与违法乱纪行为作斗争，受院、处表扬者，每次加</w:t>
      </w:r>
      <w:r>
        <w:rPr>
          <w:rFonts w:hint="eastAsia"/>
          <w:szCs w:val="21"/>
        </w:rPr>
        <w:t>2</w:t>
      </w:r>
      <w:r>
        <w:rPr>
          <w:szCs w:val="21"/>
        </w:rPr>
        <w:t>分；受学校以上</w:t>
      </w:r>
      <w:r>
        <w:rPr>
          <w:rFonts w:hint="eastAsia"/>
          <w:szCs w:val="21"/>
        </w:rPr>
        <w:t>（包含校级）</w:t>
      </w:r>
      <w:r>
        <w:rPr>
          <w:szCs w:val="21"/>
        </w:rPr>
        <w:t>表扬者，每次加</w:t>
      </w:r>
      <w:r>
        <w:rPr>
          <w:rFonts w:hint="eastAsia"/>
          <w:szCs w:val="21"/>
        </w:rPr>
        <w:t>2.5</w:t>
      </w:r>
      <w:r>
        <w:rPr>
          <w:szCs w:val="21"/>
        </w:rPr>
        <w:t>分。因同一事迹受多个单位表扬者，以最高分为准，不重复加分。</w:t>
      </w:r>
    </w:p>
    <w:p>
      <w:pPr>
        <w:spacing w:line="360" w:lineRule="auto"/>
        <w:ind w:firstLine="420"/>
        <w:rPr>
          <w:rFonts w:ascii="宋体" w:hAnsi="宋体"/>
          <w:szCs w:val="21"/>
        </w:rPr>
      </w:pPr>
      <w:r>
        <w:rPr>
          <w:rFonts w:hint="eastAsia" w:ascii="宋体" w:hAnsi="宋体"/>
          <w:szCs w:val="21"/>
        </w:rPr>
        <w:t>② 本学年度被</w:t>
      </w:r>
      <w:bookmarkStart w:id="0" w:name="_GoBack"/>
      <w:bookmarkEnd w:id="0"/>
      <w:r>
        <w:rPr>
          <w:rFonts w:hint="eastAsia" w:ascii="宋体" w:hAnsi="宋体"/>
          <w:szCs w:val="21"/>
        </w:rPr>
        <w:t>评为南粤优秀研究生等省级荣誉者加2.5分；</w:t>
      </w:r>
      <w:r>
        <w:rPr>
          <w:rFonts w:hint="eastAsia" w:ascii="宋体" w:hAnsi="宋体"/>
          <w:szCs w:val="21"/>
          <w:u w:val="single"/>
        </w:rPr>
        <w:t>校优秀党员</w:t>
      </w:r>
      <w:r>
        <w:rPr>
          <w:rFonts w:hint="eastAsia" w:ascii="宋体" w:hAnsi="宋体"/>
          <w:szCs w:val="21"/>
        </w:rPr>
        <w:t>、校优秀学生干部（获奖学金不加分）、校优秀团员干部、</w:t>
      </w:r>
      <w:r>
        <w:rPr>
          <w:rFonts w:hint="eastAsia" w:ascii="宋体" w:hAnsi="宋体"/>
          <w:szCs w:val="21"/>
          <w:u w:val="single"/>
        </w:rPr>
        <w:t>校优秀团员</w:t>
      </w:r>
      <w:r>
        <w:rPr>
          <w:rFonts w:hint="eastAsia" w:ascii="宋体" w:hAnsi="宋体"/>
          <w:szCs w:val="21"/>
        </w:rPr>
        <w:t>加1分、</w:t>
      </w:r>
      <w:r>
        <w:rPr>
          <w:rFonts w:hint="eastAsia" w:ascii="宋体" w:hAnsi="宋体"/>
          <w:szCs w:val="21"/>
          <w:u w:val="single"/>
        </w:rPr>
        <w:t>院级优秀党员加0.5分、院级优秀党务工作者加</w:t>
      </w:r>
      <w:r>
        <w:rPr>
          <w:rFonts w:ascii="宋体" w:hAnsi="宋体"/>
          <w:szCs w:val="21"/>
          <w:u w:val="single"/>
        </w:rPr>
        <w:t>0.5</w:t>
      </w:r>
      <w:r>
        <w:rPr>
          <w:rFonts w:hint="eastAsia" w:ascii="宋体" w:hAnsi="宋体"/>
          <w:szCs w:val="21"/>
          <w:u w:val="single"/>
        </w:rPr>
        <w:t>分</w:t>
      </w:r>
      <w:r>
        <w:rPr>
          <w:rFonts w:hint="eastAsia" w:ascii="宋体" w:hAnsi="宋体"/>
          <w:szCs w:val="21"/>
        </w:rPr>
        <w:t>、院级优秀学生干部加1分、院级优秀督导员加0.5分，</w:t>
      </w:r>
      <w:r>
        <w:rPr>
          <w:rFonts w:hint="eastAsia" w:ascii="宋体" w:hAnsi="宋体"/>
          <w:szCs w:val="21"/>
          <w:u w:val="single"/>
        </w:rPr>
        <w:t>累加不超过2分</w:t>
      </w:r>
      <w:r>
        <w:rPr>
          <w:rFonts w:hint="eastAsia" w:ascii="宋体" w:hAnsi="宋体"/>
          <w:szCs w:val="21"/>
        </w:rPr>
        <w:t>；院或校团委研会优秀干事、校研究生艺术团优秀团员、研究生通讯社优秀社员及研究生青年志愿者队优秀志愿者加1分，可累加</w:t>
      </w:r>
      <w:r>
        <w:rPr>
          <w:rFonts w:hint="eastAsia" w:ascii="宋体" w:hAnsi="宋体"/>
          <w:szCs w:val="21"/>
          <w:u w:val="single"/>
        </w:rPr>
        <w:t>最高不超过2分</w:t>
      </w:r>
      <w:r>
        <w:rPr>
          <w:rFonts w:hint="eastAsia" w:ascii="宋体" w:hAnsi="宋体"/>
          <w:szCs w:val="21"/>
        </w:rPr>
        <w:t>；</w:t>
      </w:r>
      <w:r>
        <w:rPr>
          <w:rFonts w:hint="eastAsia"/>
          <w:szCs w:val="21"/>
        </w:rPr>
        <w:t>被评为院级以上</w:t>
      </w:r>
      <w:r>
        <w:rPr>
          <w:szCs w:val="21"/>
        </w:rPr>
        <w:t>荣誉者，加</w:t>
      </w:r>
      <w:r>
        <w:rPr>
          <w:rFonts w:hint="eastAsia"/>
          <w:szCs w:val="21"/>
        </w:rPr>
        <w:t>1</w:t>
      </w:r>
      <w:r>
        <w:rPr>
          <w:szCs w:val="21"/>
        </w:rPr>
        <w:t>分；</w:t>
      </w:r>
      <w:r>
        <w:rPr>
          <w:rFonts w:hint="eastAsia" w:ascii="宋体" w:hAnsi="宋体"/>
          <w:szCs w:val="21"/>
        </w:rPr>
        <w:t>因同一事迹受多个单位表扬者，以最高分为准，不重复加分，因参加培训而获得的相关荣誉，一律不予加分（如党校培训，志愿者培训等）。</w:t>
      </w:r>
    </w:p>
    <w:p>
      <w:pPr>
        <w:spacing w:line="360" w:lineRule="auto"/>
        <w:ind w:firstLine="420" w:firstLineChars="200"/>
        <w:rPr>
          <w:b/>
          <w:bCs/>
          <w:szCs w:val="21"/>
        </w:rPr>
      </w:pPr>
      <w:r>
        <w:rPr>
          <w:rFonts w:hint="eastAsia" w:ascii="宋体" w:hAnsi="宋体"/>
          <w:szCs w:val="21"/>
        </w:rPr>
        <w:t>③关心集体，热心集体活动，参加集体活动（包括学校组织的讲座、学院组织的非学术性讲座、元旦晚会等涉及班级、学院考核的活动，晚会观众不加分）每人/次加0.2分，累计</w:t>
      </w:r>
      <w:r>
        <w:rPr>
          <w:rFonts w:hint="eastAsia" w:ascii="宋体" w:hAnsi="宋体"/>
          <w:szCs w:val="21"/>
          <w:u w:val="single"/>
        </w:rPr>
        <w:t>加分不超过1分</w:t>
      </w:r>
      <w:r>
        <w:rPr>
          <w:rFonts w:hint="eastAsia" w:ascii="宋体" w:hAnsi="宋体"/>
          <w:szCs w:val="21"/>
        </w:rPr>
        <w:t>。</w:t>
      </w:r>
    </w:p>
    <w:p>
      <w:pPr>
        <w:spacing w:line="360" w:lineRule="auto"/>
        <w:ind w:firstLine="420" w:firstLineChars="200"/>
        <w:rPr>
          <w:szCs w:val="21"/>
        </w:rPr>
      </w:pPr>
      <w:r>
        <w:rPr>
          <w:rFonts w:hint="eastAsia" w:ascii="宋体" w:hAnsi="宋体"/>
          <w:szCs w:val="21"/>
        </w:rPr>
        <w:t>④</w:t>
      </w:r>
      <w:r>
        <w:rPr>
          <w:rFonts w:hint="eastAsia"/>
          <w:szCs w:val="21"/>
        </w:rPr>
        <w:t>参加非学术和非体育类的院级以上竞赛活动，一等奖加1</w:t>
      </w:r>
      <w:r>
        <w:rPr>
          <w:rFonts w:hint="eastAsia" w:ascii="宋体" w:hAnsi="宋体"/>
          <w:szCs w:val="21"/>
        </w:rPr>
        <w:t>分，二等奖加</w:t>
      </w:r>
      <w:r>
        <w:rPr>
          <w:rFonts w:hint="eastAsia"/>
          <w:szCs w:val="21"/>
        </w:rPr>
        <w:t>0.75</w:t>
      </w:r>
      <w:r>
        <w:rPr>
          <w:rFonts w:hint="eastAsia" w:ascii="宋体" w:hAnsi="宋体"/>
          <w:szCs w:val="21"/>
        </w:rPr>
        <w:t>分，三等奖加</w:t>
      </w:r>
      <w:r>
        <w:rPr>
          <w:rFonts w:hint="eastAsia"/>
          <w:szCs w:val="21"/>
        </w:rPr>
        <w:t>0.5</w:t>
      </w:r>
      <w:r>
        <w:rPr>
          <w:rFonts w:hint="eastAsia" w:ascii="宋体" w:hAnsi="宋体"/>
          <w:szCs w:val="21"/>
        </w:rPr>
        <w:t>分，优胜奖加</w:t>
      </w:r>
      <w:r>
        <w:rPr>
          <w:rFonts w:hint="eastAsia"/>
          <w:szCs w:val="21"/>
        </w:rPr>
        <w:t>0.25</w:t>
      </w:r>
      <w:r>
        <w:rPr>
          <w:rFonts w:hint="eastAsia" w:ascii="宋体" w:hAnsi="宋体"/>
          <w:szCs w:val="21"/>
        </w:rPr>
        <w:t>分。</w:t>
      </w:r>
      <w:r>
        <w:rPr>
          <w:szCs w:val="21"/>
        </w:rPr>
        <w:t>研究生寝室评比获奖宿舍</w:t>
      </w:r>
      <w:r>
        <w:rPr>
          <w:rFonts w:hint="eastAsia"/>
          <w:szCs w:val="21"/>
        </w:rPr>
        <w:t>，按宿舍成员加</w:t>
      </w:r>
      <w:r>
        <w:rPr>
          <w:szCs w:val="21"/>
        </w:rPr>
        <w:t>分</w:t>
      </w:r>
      <w:r>
        <w:rPr>
          <w:rFonts w:hint="eastAsia"/>
          <w:szCs w:val="21"/>
        </w:rPr>
        <w:t>。院级评比参与者</w:t>
      </w:r>
      <w:r>
        <w:rPr>
          <w:rFonts w:hint="eastAsia" w:ascii="宋体" w:hAnsi="宋体"/>
          <w:szCs w:val="21"/>
        </w:rPr>
        <w:t>加</w:t>
      </w:r>
      <w:r>
        <w:rPr>
          <w:rFonts w:hint="eastAsia"/>
          <w:szCs w:val="21"/>
        </w:rPr>
        <w:t>0.2</w:t>
      </w:r>
      <w:r>
        <w:rPr>
          <w:rFonts w:hint="eastAsia" w:ascii="宋体" w:hAnsi="宋体"/>
          <w:szCs w:val="21"/>
        </w:rPr>
        <w:t>分，获评院级五星级宿舍加</w:t>
      </w:r>
      <w:r>
        <w:rPr>
          <w:rFonts w:hint="eastAsia"/>
          <w:szCs w:val="21"/>
        </w:rPr>
        <w:t>0.5</w:t>
      </w:r>
      <w:r>
        <w:rPr>
          <w:rFonts w:hint="eastAsia" w:ascii="宋体" w:hAnsi="宋体"/>
          <w:szCs w:val="21"/>
        </w:rPr>
        <w:t>分，四星级宿舍加</w:t>
      </w:r>
      <w:r>
        <w:rPr>
          <w:rFonts w:hint="eastAsia"/>
          <w:szCs w:val="21"/>
        </w:rPr>
        <w:t>0.4</w:t>
      </w:r>
      <w:r>
        <w:rPr>
          <w:rFonts w:hint="eastAsia" w:ascii="宋体" w:hAnsi="宋体"/>
          <w:szCs w:val="21"/>
        </w:rPr>
        <w:t>分，三星级宿舍加</w:t>
      </w:r>
      <w:r>
        <w:rPr>
          <w:rFonts w:hint="eastAsia"/>
          <w:szCs w:val="21"/>
        </w:rPr>
        <w:t>0.3</w:t>
      </w:r>
      <w:r>
        <w:rPr>
          <w:rFonts w:hint="eastAsia" w:ascii="宋体" w:hAnsi="宋体"/>
          <w:szCs w:val="21"/>
        </w:rPr>
        <w:t>分，优胜奖加</w:t>
      </w:r>
      <w:r>
        <w:rPr>
          <w:rFonts w:hint="eastAsia"/>
          <w:szCs w:val="21"/>
        </w:rPr>
        <w:t>0.25</w:t>
      </w:r>
      <w:r>
        <w:rPr>
          <w:rFonts w:hint="eastAsia" w:ascii="宋体" w:hAnsi="宋体"/>
          <w:szCs w:val="21"/>
        </w:rPr>
        <w:t>分；代表学院参加校级宿舍评比，参与者加</w:t>
      </w:r>
      <w:r>
        <w:rPr>
          <w:rFonts w:hint="eastAsia"/>
          <w:szCs w:val="21"/>
        </w:rPr>
        <w:t>0.25</w:t>
      </w:r>
      <w:r>
        <w:rPr>
          <w:rFonts w:hint="eastAsia" w:ascii="宋体" w:hAnsi="宋体"/>
          <w:szCs w:val="21"/>
        </w:rPr>
        <w:t>分，获评校级五星级宿舍加</w:t>
      </w:r>
      <w:r>
        <w:rPr>
          <w:rFonts w:hint="eastAsia"/>
          <w:szCs w:val="21"/>
        </w:rPr>
        <w:t>0.8</w:t>
      </w:r>
      <w:r>
        <w:rPr>
          <w:rFonts w:hint="eastAsia" w:ascii="宋体" w:hAnsi="宋体"/>
          <w:szCs w:val="21"/>
        </w:rPr>
        <w:t>分，四星级宿舍加</w:t>
      </w:r>
      <w:r>
        <w:rPr>
          <w:rFonts w:hint="eastAsia"/>
          <w:szCs w:val="21"/>
        </w:rPr>
        <w:t>0.6</w:t>
      </w:r>
      <w:r>
        <w:rPr>
          <w:rFonts w:hint="eastAsia" w:ascii="宋体" w:hAnsi="宋体"/>
          <w:szCs w:val="21"/>
        </w:rPr>
        <w:t>分，三星级宿舍加</w:t>
      </w:r>
      <w:r>
        <w:rPr>
          <w:rFonts w:hint="eastAsia"/>
          <w:szCs w:val="21"/>
        </w:rPr>
        <w:t>0.4</w:t>
      </w:r>
      <w:r>
        <w:rPr>
          <w:rFonts w:hint="eastAsia" w:ascii="宋体" w:hAnsi="宋体"/>
          <w:szCs w:val="21"/>
        </w:rPr>
        <w:t>分，优胜奖加</w:t>
      </w:r>
      <w:r>
        <w:rPr>
          <w:rFonts w:hint="eastAsia"/>
          <w:szCs w:val="21"/>
        </w:rPr>
        <w:t>0.3</w:t>
      </w:r>
      <w:r>
        <w:rPr>
          <w:rFonts w:hint="eastAsia" w:ascii="宋体" w:hAnsi="宋体"/>
          <w:szCs w:val="21"/>
        </w:rPr>
        <w:t>分。获奖宿舍只加荣誉分不加参与分，院级评比和校级评比所获加分可以累计。</w:t>
      </w:r>
    </w:p>
    <w:p>
      <w:pPr>
        <w:spacing w:line="360" w:lineRule="auto"/>
        <w:ind w:firstLine="420"/>
        <w:rPr>
          <w:szCs w:val="21"/>
        </w:rPr>
      </w:pPr>
      <w:r>
        <w:rPr>
          <w:rFonts w:hint="eastAsia" w:ascii="宋体" w:hAnsi="宋体"/>
          <w:szCs w:val="21"/>
        </w:rPr>
        <w:t>⑤</w:t>
      </w:r>
      <w:r>
        <w:rPr>
          <w:rFonts w:hint="eastAsia"/>
          <w:szCs w:val="21"/>
        </w:rPr>
        <w:t>社会工作加分：</w:t>
      </w:r>
    </w:p>
    <w:p>
      <w:pPr>
        <w:spacing w:line="360" w:lineRule="auto"/>
        <w:ind w:firstLine="420"/>
        <w:rPr>
          <w:szCs w:val="21"/>
        </w:rPr>
      </w:pPr>
      <w:r>
        <w:rPr>
          <w:rFonts w:hint="eastAsia"/>
          <w:szCs w:val="21"/>
        </w:rPr>
        <w:t>参加学校组织、学生党团组织及学校成立的其他组织，任期满一年，尽职尽责能较好的完成本职工作，可申请加分，标准如下：</w:t>
      </w:r>
    </w:p>
    <w:p>
      <w:pPr>
        <w:spacing w:line="360" w:lineRule="auto"/>
        <w:ind w:firstLine="420" w:firstLineChars="200"/>
        <w:jc w:val="left"/>
        <w:rPr>
          <w:szCs w:val="21"/>
        </w:rPr>
      </w:pPr>
      <w:r>
        <w:rPr>
          <w:rFonts w:hint="eastAsia"/>
          <w:szCs w:val="21"/>
        </w:rPr>
        <w:t>a</w:t>
      </w:r>
      <w:r>
        <w:rPr>
          <w:rFonts w:hint="eastAsia" w:ascii="宋体" w:hAnsi="宋体"/>
          <w:szCs w:val="21"/>
        </w:rPr>
        <w:t>）</w:t>
      </w:r>
      <w:r>
        <w:rPr>
          <w:szCs w:val="21"/>
        </w:rPr>
        <w:t>凡在本学年内担任</w:t>
      </w:r>
      <w:r>
        <w:rPr>
          <w:rFonts w:hint="eastAsia"/>
          <w:szCs w:val="21"/>
        </w:rPr>
        <w:t>省市学生组织干部可申请加</w:t>
      </w:r>
      <w:r>
        <w:rPr>
          <w:szCs w:val="21"/>
        </w:rPr>
        <w:t>5</w:t>
      </w:r>
      <w:r>
        <w:rPr>
          <w:rFonts w:hint="eastAsia" w:ascii="宋体" w:hAnsi="宋体"/>
          <w:szCs w:val="21"/>
        </w:rPr>
        <w:t>分</w:t>
      </w:r>
      <w:r>
        <w:rPr>
          <w:rFonts w:hint="eastAsia"/>
          <w:szCs w:val="21"/>
        </w:rPr>
        <w:t>，校研究生团委研究生会常委，院研究生团总支研究生会主席团成员可申请加</w:t>
      </w:r>
      <w:r>
        <w:rPr>
          <w:szCs w:val="21"/>
        </w:rPr>
        <w:t>4</w:t>
      </w:r>
      <w:r>
        <w:rPr>
          <w:rFonts w:hint="eastAsia" w:ascii="宋体" w:hAnsi="宋体"/>
          <w:szCs w:val="21"/>
        </w:rPr>
        <w:t>分。</w:t>
      </w:r>
    </w:p>
    <w:p>
      <w:pPr>
        <w:spacing w:line="360" w:lineRule="auto"/>
        <w:ind w:firstLine="420" w:firstLineChars="200"/>
        <w:rPr>
          <w:rFonts w:ascii="宋体" w:hAnsi="宋体"/>
          <w:szCs w:val="21"/>
        </w:rPr>
      </w:pPr>
      <w:r>
        <w:rPr>
          <w:rFonts w:hint="eastAsia"/>
          <w:szCs w:val="21"/>
        </w:rPr>
        <w:t>b</w:t>
      </w:r>
      <w:r>
        <w:rPr>
          <w:rFonts w:hint="eastAsia" w:ascii="宋体" w:hAnsi="宋体"/>
          <w:szCs w:val="21"/>
        </w:rPr>
        <w:t>）校研究生团委、研究生会委员，校研究生青年志愿者服务队（副）队长、红十字会研究生分会（副）会长及研究生艺术团（副）团长，院研究生团总支、研究生会部长可申请加3分。</w:t>
      </w:r>
    </w:p>
    <w:p>
      <w:pPr>
        <w:spacing w:line="360" w:lineRule="auto"/>
        <w:ind w:firstLine="420"/>
        <w:rPr>
          <w:szCs w:val="21"/>
        </w:rPr>
      </w:pPr>
      <w:r>
        <w:rPr>
          <w:rFonts w:hint="eastAsia"/>
          <w:szCs w:val="21"/>
        </w:rPr>
        <w:t>c</w:t>
      </w:r>
      <w:r>
        <w:rPr>
          <w:rFonts w:hint="eastAsia" w:ascii="宋体" w:hAnsi="宋体"/>
          <w:szCs w:val="21"/>
        </w:rPr>
        <w:t>）团委、研究生会干事可申请加</w:t>
      </w:r>
      <w:r>
        <w:rPr>
          <w:rFonts w:hint="eastAsia"/>
          <w:szCs w:val="21"/>
        </w:rPr>
        <w:t>1</w:t>
      </w:r>
      <w:r>
        <w:rPr>
          <w:rFonts w:hint="eastAsia" w:ascii="宋体" w:hAnsi="宋体"/>
          <w:szCs w:val="21"/>
        </w:rPr>
        <w:t>分。</w:t>
      </w:r>
    </w:p>
    <w:p>
      <w:pPr>
        <w:spacing w:line="360" w:lineRule="auto"/>
        <w:ind w:firstLine="420"/>
        <w:rPr>
          <w:szCs w:val="21"/>
        </w:rPr>
      </w:pPr>
      <w:r>
        <w:rPr>
          <w:rFonts w:hint="eastAsia"/>
          <w:szCs w:val="21"/>
        </w:rPr>
        <w:t>d</w:t>
      </w:r>
      <w:r>
        <w:rPr>
          <w:rFonts w:hint="eastAsia" w:ascii="宋体" w:hAnsi="宋体"/>
          <w:szCs w:val="21"/>
        </w:rPr>
        <w:t>）</w:t>
      </w:r>
      <w:r>
        <w:rPr>
          <w:szCs w:val="21"/>
        </w:rPr>
        <w:t>党支部</w:t>
      </w:r>
      <w:r>
        <w:rPr>
          <w:rFonts w:hint="eastAsia"/>
          <w:szCs w:val="21"/>
        </w:rPr>
        <w:t>书记、助理班主任、班长、校研究生志愿者队、红十字会及艺术团下属部门部长可申请加2</w:t>
      </w:r>
      <w:r>
        <w:rPr>
          <w:rFonts w:hint="eastAsia" w:ascii="宋体" w:hAnsi="宋体"/>
          <w:szCs w:val="21"/>
        </w:rPr>
        <w:t>分，其他班委、党支部委员、各年级博士负责人、朋辈辅导员</w:t>
      </w:r>
      <w:r>
        <w:rPr>
          <w:rFonts w:hint="eastAsia"/>
          <w:szCs w:val="21"/>
        </w:rPr>
        <w:t>(</w:t>
      </w:r>
      <w:r>
        <w:rPr>
          <w:rFonts w:hint="eastAsia" w:ascii="宋体" w:hAnsi="宋体"/>
          <w:szCs w:val="21"/>
        </w:rPr>
        <w:t>只加一次分</w:t>
      </w:r>
      <w:r>
        <w:rPr>
          <w:rFonts w:hint="eastAsia"/>
          <w:szCs w:val="21"/>
        </w:rPr>
        <w:t>)</w:t>
      </w:r>
      <w:r>
        <w:rPr>
          <w:rFonts w:hint="eastAsia" w:ascii="宋体" w:hAnsi="宋体"/>
          <w:szCs w:val="21"/>
        </w:rPr>
        <w:t>可申请加</w:t>
      </w:r>
      <w:r>
        <w:rPr>
          <w:rFonts w:hint="eastAsia"/>
          <w:szCs w:val="21"/>
        </w:rPr>
        <w:t>1</w:t>
      </w:r>
      <w:r>
        <w:rPr>
          <w:rFonts w:hint="eastAsia" w:ascii="宋体" w:hAnsi="宋体"/>
          <w:szCs w:val="21"/>
        </w:rPr>
        <w:t>分。</w:t>
      </w:r>
    </w:p>
    <w:p>
      <w:pPr>
        <w:spacing w:line="360" w:lineRule="auto"/>
        <w:ind w:firstLine="420"/>
        <w:rPr>
          <w:szCs w:val="21"/>
        </w:rPr>
      </w:pPr>
      <w:r>
        <w:rPr>
          <w:rFonts w:hint="eastAsia"/>
          <w:szCs w:val="21"/>
        </w:rPr>
        <w:t>e</w:t>
      </w:r>
      <w:r>
        <w:rPr>
          <w:rFonts w:hint="eastAsia" w:ascii="宋体" w:hAnsi="宋体"/>
          <w:szCs w:val="21"/>
        </w:rPr>
        <w:t>）</w:t>
      </w:r>
      <w:r>
        <w:rPr>
          <w:szCs w:val="21"/>
        </w:rPr>
        <w:t>非上述规定人员，主动联系、主持、组织全院研究生集体活动或学术活动，或从校外为本院研究生活动筹措经费者，每次加</w:t>
      </w:r>
      <w:r>
        <w:rPr>
          <w:rFonts w:hint="eastAsia"/>
          <w:szCs w:val="21"/>
        </w:rPr>
        <w:t>0.2</w:t>
      </w:r>
      <w:r>
        <w:rPr>
          <w:szCs w:val="21"/>
        </w:rPr>
        <w:t>分</w:t>
      </w:r>
      <w:r>
        <w:rPr>
          <w:rFonts w:hint="eastAsia"/>
          <w:szCs w:val="21"/>
        </w:rPr>
        <w:t>，需提供加分证明材料。</w:t>
      </w:r>
    </w:p>
    <w:p>
      <w:pPr>
        <w:spacing w:line="360" w:lineRule="auto"/>
        <w:ind w:firstLine="420"/>
        <w:rPr>
          <w:rFonts w:ascii="宋体" w:hAnsi="宋体"/>
          <w:b/>
          <w:bCs/>
          <w:szCs w:val="21"/>
        </w:rPr>
      </w:pPr>
      <w:r>
        <w:rPr>
          <w:rFonts w:hint="eastAsia"/>
          <w:szCs w:val="21"/>
        </w:rPr>
        <w:t>兼任数项工作者，按最高得分项加分，不重复计分。</w:t>
      </w:r>
    </w:p>
    <w:p>
      <w:pPr>
        <w:spacing w:line="360" w:lineRule="auto"/>
        <w:ind w:firstLine="420"/>
        <w:rPr>
          <w:szCs w:val="21"/>
        </w:rPr>
      </w:pPr>
      <w:r>
        <w:rPr>
          <w:rFonts w:hint="eastAsia" w:ascii="宋体" w:hAnsi="宋体"/>
          <w:szCs w:val="21"/>
        </w:rPr>
        <w:t xml:space="preserve">⑥ </w:t>
      </w:r>
      <w:r>
        <w:rPr>
          <w:rFonts w:hint="eastAsia"/>
          <w:szCs w:val="21"/>
        </w:rPr>
        <w:t>社会实践加分：</w:t>
      </w:r>
    </w:p>
    <w:p>
      <w:pPr>
        <w:spacing w:line="360" w:lineRule="auto"/>
        <w:ind w:firstLine="420"/>
        <w:rPr>
          <w:szCs w:val="21"/>
        </w:rPr>
      </w:pPr>
      <w:r>
        <w:rPr>
          <w:szCs w:val="21"/>
        </w:rPr>
        <w:t>参加各种科技兴农、科技咨询和挂职锻炼等社会实践活动，完成任务者，每人次加0.5</w:t>
      </w:r>
      <w:r>
        <w:rPr>
          <w:rFonts w:ascii="宋体" w:hAnsi="宋体"/>
          <w:szCs w:val="21"/>
        </w:rPr>
        <w:t>分，受校、院表扬者，加</w:t>
      </w:r>
      <w:r>
        <w:rPr>
          <w:szCs w:val="21"/>
        </w:rPr>
        <w:t>1</w:t>
      </w:r>
      <w:r>
        <w:rPr>
          <w:rFonts w:ascii="宋体" w:hAnsi="宋体"/>
          <w:szCs w:val="21"/>
        </w:rPr>
        <w:t>分；受省级以上表扬者，或在省市级以上报刊发表相关文章者，加</w:t>
      </w:r>
      <w:r>
        <w:rPr>
          <w:szCs w:val="21"/>
        </w:rPr>
        <w:t>2</w:t>
      </w:r>
      <w:r>
        <w:rPr>
          <w:rFonts w:ascii="宋体" w:hAnsi="宋体"/>
          <w:szCs w:val="21"/>
        </w:rPr>
        <w:t>分。因同一活动受多次表扬时，以最高分为准。</w:t>
      </w:r>
    </w:p>
    <w:p>
      <w:pPr>
        <w:spacing w:line="360" w:lineRule="auto"/>
        <w:ind w:firstLine="420"/>
        <w:rPr>
          <w:szCs w:val="21"/>
        </w:rPr>
      </w:pPr>
      <w:r>
        <w:rPr>
          <w:szCs w:val="21"/>
        </w:rPr>
        <w:t xml:space="preserve">C) </w:t>
      </w:r>
      <w:r>
        <w:rPr>
          <w:rFonts w:ascii="宋体" w:hAnsi="宋体"/>
          <w:szCs w:val="21"/>
        </w:rPr>
        <w:t>所有担任社会工作</w:t>
      </w:r>
      <w:r>
        <w:rPr>
          <w:rFonts w:hint="eastAsia"/>
          <w:szCs w:val="21"/>
        </w:rPr>
        <w:t>已</w:t>
      </w:r>
      <w:r>
        <w:rPr>
          <w:szCs w:val="21"/>
        </w:rPr>
        <w:t>加分的成员，本部门举（承）办的竞技类活动组织者不可申请加分</w:t>
      </w:r>
      <w:r>
        <w:rPr>
          <w:rFonts w:hint="eastAsia"/>
          <w:szCs w:val="21"/>
        </w:rPr>
        <w:t>，参加者可以申请加分</w:t>
      </w:r>
      <w:r>
        <w:rPr>
          <w:szCs w:val="21"/>
        </w:rPr>
        <w:t>。</w:t>
      </w:r>
    </w:p>
    <w:p>
      <w:pPr>
        <w:spacing w:line="360" w:lineRule="auto"/>
        <w:ind w:left="420"/>
        <w:outlineLvl w:val="0"/>
        <w:rPr>
          <w:szCs w:val="21"/>
        </w:rPr>
      </w:pPr>
      <w:r>
        <w:rPr>
          <w:rFonts w:hint="eastAsia"/>
          <w:szCs w:val="21"/>
        </w:rPr>
        <w:t>（4</w:t>
      </w:r>
      <w:r>
        <w:rPr>
          <w:rFonts w:hint="eastAsia" w:ascii="宋体" w:hAnsi="宋体"/>
          <w:szCs w:val="21"/>
        </w:rPr>
        <w:t>）</w:t>
      </w:r>
      <w:r>
        <w:rPr>
          <w:szCs w:val="21"/>
        </w:rPr>
        <w:t>减分及条件</w:t>
      </w:r>
    </w:p>
    <w:p>
      <w:pPr>
        <w:spacing w:line="360" w:lineRule="auto"/>
        <w:ind w:firstLine="420" w:firstLineChars="200"/>
        <w:rPr>
          <w:szCs w:val="21"/>
        </w:rPr>
      </w:pPr>
      <w:r>
        <w:rPr>
          <w:rFonts w:hint="eastAsia"/>
          <w:szCs w:val="21"/>
        </w:rPr>
        <w:t>a</w:t>
      </w:r>
      <w:r>
        <w:rPr>
          <w:rFonts w:hint="eastAsia" w:ascii="宋体" w:hAnsi="宋体"/>
          <w:szCs w:val="21"/>
        </w:rPr>
        <w:t>）</w:t>
      </w:r>
      <w:r>
        <w:rPr>
          <w:szCs w:val="21"/>
        </w:rPr>
        <w:t>恶意欠缴住宿费或学费者减</w:t>
      </w:r>
      <w:r>
        <w:rPr>
          <w:rFonts w:hint="eastAsia"/>
          <w:szCs w:val="21"/>
        </w:rPr>
        <w:t>10</w:t>
      </w:r>
      <w:r>
        <w:rPr>
          <w:szCs w:val="21"/>
        </w:rPr>
        <w:t>分；</w:t>
      </w:r>
      <w:r>
        <w:rPr>
          <w:rFonts w:hint="eastAsia"/>
          <w:szCs w:val="21"/>
        </w:rPr>
        <w:t>b</w:t>
      </w:r>
      <w:r>
        <w:rPr>
          <w:rFonts w:hint="eastAsia" w:ascii="宋体" w:hAnsi="宋体"/>
          <w:szCs w:val="21"/>
        </w:rPr>
        <w:t>）</w:t>
      </w:r>
      <w:r>
        <w:rPr>
          <w:szCs w:val="21"/>
        </w:rPr>
        <w:t>受通报批评者减</w:t>
      </w:r>
      <w:r>
        <w:rPr>
          <w:rFonts w:hint="eastAsia"/>
          <w:szCs w:val="21"/>
        </w:rPr>
        <w:t>5</w:t>
      </w:r>
      <w:r>
        <w:rPr>
          <w:szCs w:val="21"/>
        </w:rPr>
        <w:t>分；</w:t>
      </w:r>
      <w:r>
        <w:rPr>
          <w:rFonts w:hint="eastAsia"/>
          <w:szCs w:val="21"/>
        </w:rPr>
        <w:t>c</w:t>
      </w:r>
      <w:r>
        <w:rPr>
          <w:rFonts w:hint="eastAsia" w:ascii="宋体" w:hAnsi="宋体"/>
          <w:szCs w:val="21"/>
        </w:rPr>
        <w:t>）</w:t>
      </w:r>
      <w:r>
        <w:rPr>
          <w:szCs w:val="21"/>
        </w:rPr>
        <w:t>党员无故不参加支部生活，缺席一次扣</w:t>
      </w:r>
      <w:r>
        <w:rPr>
          <w:rFonts w:hint="eastAsia"/>
          <w:szCs w:val="21"/>
        </w:rPr>
        <w:t>0.1</w:t>
      </w:r>
      <w:r>
        <w:rPr>
          <w:szCs w:val="21"/>
        </w:rPr>
        <w:t>分，学年内可以累减</w:t>
      </w:r>
      <w:r>
        <w:rPr>
          <w:rFonts w:hint="eastAsia"/>
          <w:szCs w:val="21"/>
        </w:rPr>
        <w:t>； d</w:t>
      </w:r>
      <w:r>
        <w:rPr>
          <w:rFonts w:hint="eastAsia" w:ascii="宋体" w:hAnsi="宋体"/>
          <w:szCs w:val="21"/>
        </w:rPr>
        <w:t>）</w:t>
      </w:r>
      <w:r>
        <w:rPr>
          <w:szCs w:val="21"/>
        </w:rPr>
        <w:t>修改、伪造实验数据，抄袭他人文章和成果者，视情节严重，扣</w:t>
      </w:r>
      <w:r>
        <w:rPr>
          <w:rFonts w:hint="eastAsia"/>
          <w:szCs w:val="21"/>
        </w:rPr>
        <w:t>5</w:t>
      </w:r>
      <w:r>
        <w:rPr>
          <w:rFonts w:hint="eastAsia" w:ascii="宋体" w:hAnsi="宋体"/>
          <w:szCs w:val="21"/>
        </w:rPr>
        <w:t>—</w:t>
      </w:r>
      <w:r>
        <w:rPr>
          <w:rFonts w:hint="eastAsia"/>
          <w:szCs w:val="21"/>
        </w:rPr>
        <w:t>15</w:t>
      </w:r>
      <w:r>
        <w:rPr>
          <w:szCs w:val="21"/>
        </w:rPr>
        <w:t>分</w:t>
      </w:r>
      <w:r>
        <w:rPr>
          <w:rFonts w:hint="eastAsia"/>
          <w:szCs w:val="21"/>
        </w:rPr>
        <w:t>；e</w:t>
      </w:r>
      <w:r>
        <w:rPr>
          <w:rFonts w:hint="eastAsia" w:ascii="宋体" w:hAnsi="宋体"/>
          <w:szCs w:val="21"/>
        </w:rPr>
        <w:t>）</w:t>
      </w:r>
      <w:r>
        <w:rPr>
          <w:szCs w:val="21"/>
        </w:rPr>
        <w:t>考试作弊者减</w:t>
      </w:r>
      <w:r>
        <w:rPr>
          <w:rFonts w:hint="eastAsia"/>
          <w:szCs w:val="21"/>
        </w:rPr>
        <w:t>10</w:t>
      </w:r>
      <w:r>
        <w:rPr>
          <w:szCs w:val="21"/>
        </w:rPr>
        <w:t>分；</w:t>
      </w:r>
      <w:r>
        <w:rPr>
          <w:rFonts w:hint="eastAsia"/>
          <w:szCs w:val="21"/>
        </w:rPr>
        <w:t>f</w:t>
      </w:r>
      <w:r>
        <w:rPr>
          <w:rFonts w:hint="eastAsia" w:ascii="宋体" w:hAnsi="宋体"/>
          <w:szCs w:val="21"/>
        </w:rPr>
        <w:t>）</w:t>
      </w:r>
      <w:r>
        <w:rPr>
          <w:szCs w:val="21"/>
        </w:rPr>
        <w:t>报名参加学术报告，如无特殊原因又未在管理平台取消报名的同学，除以“</w:t>
      </w:r>
      <w:r>
        <w:rPr>
          <w:rFonts w:ascii="宋体" w:hAnsi="宋体"/>
          <w:szCs w:val="21"/>
        </w:rPr>
        <w:t>失信</w:t>
      </w:r>
      <w:r>
        <w:rPr>
          <w:szCs w:val="21"/>
        </w:rPr>
        <w:t>”</w:t>
      </w:r>
      <w:r>
        <w:rPr>
          <w:rFonts w:ascii="宋体" w:hAnsi="宋体"/>
          <w:szCs w:val="21"/>
        </w:rPr>
        <w:t>计入诚信档案外，每次扣</w:t>
      </w:r>
      <w:r>
        <w:rPr>
          <w:rFonts w:hint="eastAsia"/>
          <w:szCs w:val="21"/>
        </w:rPr>
        <w:t>5</w:t>
      </w:r>
      <w:r>
        <w:rPr>
          <w:szCs w:val="21"/>
        </w:rPr>
        <w:t>分，学年内可以累减</w:t>
      </w:r>
      <w:r>
        <w:rPr>
          <w:rFonts w:hint="eastAsia"/>
          <w:szCs w:val="21"/>
        </w:rPr>
        <w:t>；g</w:t>
      </w:r>
      <w:r>
        <w:rPr>
          <w:rFonts w:hint="eastAsia" w:ascii="宋体" w:hAnsi="宋体"/>
          <w:szCs w:val="21"/>
        </w:rPr>
        <w:t>）未向学院请假擅自离校学校3天及以上者扣2分；h）学院规定必须参加的讲座或会议，无故</w:t>
      </w:r>
      <w:r>
        <w:rPr>
          <w:szCs w:val="21"/>
        </w:rPr>
        <w:t>缺席一次扣</w:t>
      </w:r>
      <w:r>
        <w:rPr>
          <w:rFonts w:hint="eastAsia"/>
          <w:szCs w:val="21"/>
        </w:rPr>
        <w:t>0.</w:t>
      </w:r>
      <w:r>
        <w:rPr>
          <w:rFonts w:hint="eastAsia" w:ascii="宋体" w:hAnsi="宋体"/>
          <w:szCs w:val="21"/>
        </w:rPr>
        <w:t>1分，年度内可累减。</w:t>
      </w:r>
    </w:p>
    <w:p>
      <w:pPr>
        <w:ind w:firstLine="420"/>
        <w:rPr>
          <w:b/>
          <w:bCs/>
          <w:szCs w:val="21"/>
        </w:rPr>
      </w:pPr>
      <w:r>
        <w:rPr>
          <w:rFonts w:hint="eastAsia"/>
          <w:b/>
          <w:bCs/>
          <w:szCs w:val="21"/>
        </w:rPr>
        <w:t>其中德育加分最高不能超过8</w:t>
      </w:r>
      <w:r>
        <w:rPr>
          <w:rFonts w:hint="eastAsia" w:ascii="宋体" w:hAnsi="宋体"/>
          <w:b/>
          <w:bCs/>
          <w:szCs w:val="21"/>
        </w:rPr>
        <w:t>分；减分超过</w:t>
      </w:r>
      <w:r>
        <w:rPr>
          <w:rFonts w:hint="eastAsia"/>
          <w:b/>
          <w:bCs/>
          <w:szCs w:val="21"/>
        </w:rPr>
        <w:t>32</w:t>
      </w:r>
      <w:r>
        <w:rPr>
          <w:rFonts w:hint="eastAsia" w:ascii="宋体" w:hAnsi="宋体"/>
          <w:b/>
          <w:bCs/>
          <w:szCs w:val="21"/>
        </w:rPr>
        <w:t>分按</w:t>
      </w:r>
      <w:r>
        <w:rPr>
          <w:rFonts w:hint="eastAsia"/>
          <w:b/>
          <w:bCs/>
          <w:szCs w:val="21"/>
        </w:rPr>
        <w:t>32</w:t>
      </w:r>
      <w:r>
        <w:rPr>
          <w:rFonts w:hint="eastAsia" w:ascii="宋体" w:hAnsi="宋体"/>
          <w:b/>
          <w:bCs/>
          <w:szCs w:val="21"/>
        </w:rPr>
        <w:t>分记。</w:t>
      </w:r>
    </w:p>
    <w:p>
      <w:pPr>
        <w:spacing w:before="156" w:beforeLines="50" w:after="156" w:afterLines="50"/>
        <w:ind w:firstLine="420"/>
        <w:outlineLvl w:val="0"/>
        <w:rPr>
          <w:b/>
          <w:bCs/>
          <w:sz w:val="24"/>
        </w:rPr>
      </w:pPr>
      <w:r>
        <w:rPr>
          <w:rFonts w:hint="eastAsia"/>
          <w:b/>
          <w:bCs/>
          <w:sz w:val="24"/>
        </w:rPr>
        <w:t>2</w:t>
      </w:r>
      <w:r>
        <w:rPr>
          <w:rFonts w:hint="eastAsia" w:ascii="宋体" w:hAnsi="宋体"/>
          <w:b/>
          <w:bCs/>
          <w:sz w:val="24"/>
        </w:rPr>
        <w:t>、智育评分（</w:t>
      </w:r>
      <w:r>
        <w:rPr>
          <w:rFonts w:hint="eastAsia"/>
          <w:b/>
          <w:bCs/>
          <w:sz w:val="24"/>
        </w:rPr>
        <w:t>60</w:t>
      </w:r>
      <w:r>
        <w:rPr>
          <w:rFonts w:hint="eastAsia" w:ascii="宋体" w:hAnsi="宋体"/>
          <w:b/>
          <w:bCs/>
          <w:sz w:val="24"/>
        </w:rPr>
        <w:t>分）</w:t>
      </w:r>
    </w:p>
    <w:p>
      <w:pPr>
        <w:spacing w:line="360" w:lineRule="auto"/>
        <w:ind w:firstLine="420"/>
        <w:rPr>
          <w:rFonts w:ascii="宋体" w:hAnsi="宋体"/>
          <w:szCs w:val="21"/>
        </w:rPr>
      </w:pPr>
      <w:r>
        <w:rPr>
          <w:szCs w:val="21"/>
        </w:rPr>
        <w:t>基本条件：努力钻研，善于总结，具有较强的科研能力，学位论文工作踏实，在本学科领域内的研究有一定的创新，积极撰写科研论文</w:t>
      </w:r>
      <w:r>
        <w:rPr>
          <w:rFonts w:hint="eastAsia"/>
          <w:b/>
          <w:bCs/>
          <w:szCs w:val="21"/>
        </w:rPr>
        <w:t>；</w:t>
      </w:r>
      <w:r>
        <w:rPr>
          <w:rFonts w:hint="eastAsia"/>
          <w:szCs w:val="21"/>
        </w:rPr>
        <w:t>加分不能超过该项总得分。</w:t>
      </w:r>
    </w:p>
    <w:p>
      <w:pPr>
        <w:spacing w:line="360" w:lineRule="auto"/>
        <w:ind w:firstLine="420"/>
        <w:rPr>
          <w:b/>
          <w:bCs/>
          <w:szCs w:val="21"/>
        </w:rPr>
      </w:pPr>
      <w:r>
        <w:rPr>
          <w:b/>
          <w:bCs/>
          <w:szCs w:val="21"/>
        </w:rPr>
        <w:t>加分及条件：</w:t>
      </w:r>
    </w:p>
    <w:p>
      <w:pPr>
        <w:spacing w:line="360" w:lineRule="auto"/>
        <w:ind w:firstLine="420"/>
        <w:rPr>
          <w:rFonts w:ascii="宋体" w:hAnsi="宋体"/>
          <w:b/>
          <w:bCs/>
          <w:color w:val="FF0000"/>
          <w:szCs w:val="21"/>
        </w:rPr>
      </w:pPr>
      <w:r>
        <w:rPr>
          <w:rFonts w:hint="eastAsia" w:ascii="宋体" w:hAnsi="宋体"/>
          <w:b/>
          <w:bCs/>
          <w:szCs w:val="21"/>
        </w:rPr>
        <w:t xml:space="preserve">a) </w:t>
      </w:r>
      <w:r>
        <w:rPr>
          <w:rFonts w:hint="eastAsia" w:ascii="宋体" w:hAnsi="宋体"/>
          <w:szCs w:val="21"/>
        </w:rPr>
        <w:t>论文、专利或其他学术成果评分。发表学术论文要求本人为第一作者,若为共同第一作者，要求其位置排序为第一位，地址署名为华南农业大学，且为本年度内见刊。</w:t>
      </w:r>
    </w:p>
    <w:p>
      <w:pPr>
        <w:spacing w:line="360" w:lineRule="auto"/>
        <w:ind w:firstLine="420"/>
        <w:rPr>
          <w:rFonts w:ascii="宋体" w:hAnsi="宋体"/>
          <w:szCs w:val="21"/>
        </w:rPr>
      </w:pPr>
      <w:r>
        <w:rPr>
          <w:rFonts w:hint="eastAsia" w:ascii="宋体" w:hAnsi="宋体"/>
          <w:szCs w:val="21"/>
        </w:rPr>
        <w:t>SCI收录论文可根据按学科划分的第一、第二、第三、第四区，给予加分（按中科院分区进行）。</w:t>
      </w:r>
    </w:p>
    <w:p>
      <w:pPr>
        <w:spacing w:line="360" w:lineRule="auto"/>
        <w:ind w:firstLine="420"/>
        <w:rPr>
          <w:rFonts w:ascii="宋体" w:hAnsi="宋体"/>
          <w:szCs w:val="21"/>
        </w:rPr>
      </w:pPr>
      <w:r>
        <w:rPr>
          <w:rFonts w:hint="eastAsia" w:ascii="宋体" w:hAnsi="宋体"/>
          <w:szCs w:val="21"/>
        </w:rPr>
        <w:t>第一区：30分/篇；第二区：24分/篇：第三区：18分/篇；第四区：12分/篇；</w:t>
      </w:r>
    </w:p>
    <w:p>
      <w:pPr>
        <w:spacing w:line="360" w:lineRule="auto"/>
        <w:ind w:firstLine="420"/>
        <w:rPr>
          <w:rFonts w:ascii="宋体" w:hAnsi="宋体"/>
          <w:szCs w:val="21"/>
        </w:rPr>
      </w:pPr>
      <w:r>
        <w:rPr>
          <w:rFonts w:hint="eastAsia" w:ascii="宋体" w:hAnsi="宋体"/>
          <w:szCs w:val="21"/>
        </w:rPr>
        <w:t>EI加分：EI文章分光盘版和网络版给予加分。EI光盘版加9分/篇；EI网络版加</w:t>
      </w:r>
      <w:r>
        <w:rPr>
          <w:rFonts w:ascii="宋体" w:hAnsi="宋体"/>
          <w:szCs w:val="21"/>
        </w:rPr>
        <w:t>5</w:t>
      </w:r>
      <w:r>
        <w:rPr>
          <w:rFonts w:hint="eastAsia" w:ascii="宋体" w:hAnsi="宋体"/>
          <w:szCs w:val="21"/>
        </w:rPr>
        <w:t>分/篇；</w:t>
      </w:r>
    </w:p>
    <w:p>
      <w:pPr>
        <w:spacing w:line="360" w:lineRule="auto"/>
        <w:ind w:firstLine="420"/>
        <w:rPr>
          <w:rFonts w:ascii="宋体" w:hAnsi="宋体"/>
          <w:szCs w:val="21"/>
        </w:rPr>
      </w:pPr>
      <w:r>
        <w:rPr>
          <w:rFonts w:hint="eastAsia" w:ascii="宋体" w:hAnsi="宋体"/>
          <w:szCs w:val="21"/>
        </w:rPr>
        <w:t>ISTP加分：6分/篇。</w:t>
      </w:r>
    </w:p>
    <w:p>
      <w:pPr>
        <w:spacing w:line="360" w:lineRule="auto"/>
        <w:ind w:firstLine="420"/>
        <w:rPr>
          <w:rFonts w:ascii="宋体" w:hAnsi="宋体"/>
          <w:szCs w:val="21"/>
        </w:rPr>
      </w:pPr>
      <w:r>
        <w:rPr>
          <w:rFonts w:hint="eastAsia" w:ascii="宋体" w:hAnsi="宋体"/>
          <w:szCs w:val="21"/>
        </w:rPr>
        <w:t>核心排名25％以内刊物7分/篇；其他核心期刊5分/篇，</w:t>
      </w:r>
      <w:r>
        <w:rPr>
          <w:rFonts w:hint="eastAsia" w:ascii="宋体" w:hAnsi="宋体"/>
          <w:szCs w:val="21"/>
          <w:u w:val="single"/>
        </w:rPr>
        <w:t>一般刊物3分/篇</w:t>
      </w:r>
      <w:r>
        <w:rPr>
          <w:rFonts w:hint="eastAsia" w:ascii="宋体" w:hAnsi="宋体"/>
          <w:szCs w:val="21"/>
        </w:rPr>
        <w:t>。</w:t>
      </w:r>
    </w:p>
    <w:p>
      <w:pPr>
        <w:spacing w:line="360" w:lineRule="auto"/>
        <w:ind w:firstLine="420"/>
        <w:rPr>
          <w:rFonts w:ascii="宋体" w:hAnsi="宋体"/>
          <w:szCs w:val="21"/>
        </w:rPr>
      </w:pPr>
      <w:r>
        <w:rPr>
          <w:rFonts w:hint="eastAsia" w:ascii="宋体" w:hAnsi="宋体"/>
          <w:szCs w:val="21"/>
        </w:rPr>
        <w:t>年度内，有发明专利或实用新型专利的（学生为导师(含第二导师）后第一作者，地址署名为华南农业大学），分情况予以加分，其中，发明专利已授权的，加</w:t>
      </w:r>
      <w:r>
        <w:rPr>
          <w:rFonts w:ascii="宋体" w:hAnsi="宋体"/>
          <w:szCs w:val="21"/>
        </w:rPr>
        <w:t>7</w:t>
      </w:r>
      <w:r>
        <w:rPr>
          <w:rFonts w:hint="eastAsia" w:ascii="宋体" w:hAnsi="宋体"/>
          <w:szCs w:val="21"/>
        </w:rPr>
        <w:t>分/项；发明专利已公开的，加</w:t>
      </w:r>
      <w:r>
        <w:rPr>
          <w:rFonts w:ascii="宋体" w:hAnsi="宋体"/>
          <w:szCs w:val="21"/>
        </w:rPr>
        <w:t>4</w:t>
      </w:r>
      <w:r>
        <w:rPr>
          <w:rFonts w:hint="eastAsia" w:ascii="宋体" w:hAnsi="宋体"/>
          <w:szCs w:val="21"/>
        </w:rPr>
        <w:t>分/项；实用新型专利已授权的，加</w:t>
      </w:r>
      <w:r>
        <w:rPr>
          <w:rFonts w:ascii="宋体" w:hAnsi="宋体"/>
          <w:szCs w:val="21"/>
        </w:rPr>
        <w:t>4</w:t>
      </w:r>
      <w:r>
        <w:rPr>
          <w:rFonts w:hint="eastAsia" w:ascii="宋体" w:hAnsi="宋体"/>
          <w:szCs w:val="21"/>
        </w:rPr>
        <w:t>分/项；实用新型专利已公开的，加</w:t>
      </w:r>
      <w:r>
        <w:rPr>
          <w:rFonts w:ascii="宋体" w:hAnsi="宋体"/>
          <w:szCs w:val="21"/>
        </w:rPr>
        <w:t>2</w:t>
      </w:r>
      <w:r>
        <w:rPr>
          <w:rFonts w:hint="eastAsia" w:ascii="宋体" w:hAnsi="宋体"/>
          <w:szCs w:val="21"/>
        </w:rPr>
        <w:t>分/项。获省部级以上奖励或成果可申请加2分，参加著作教材编写加1分。</w:t>
      </w:r>
    </w:p>
    <w:p>
      <w:pPr>
        <w:spacing w:line="360" w:lineRule="auto"/>
        <w:ind w:firstLine="420"/>
        <w:rPr>
          <w:rFonts w:ascii="宋体" w:hAnsi="宋体"/>
          <w:b/>
          <w:bCs/>
          <w:szCs w:val="21"/>
        </w:rPr>
      </w:pPr>
      <w:r>
        <w:rPr>
          <w:rFonts w:hint="eastAsia" w:ascii="宋体" w:hAnsi="宋体"/>
          <w:b/>
          <w:bCs/>
          <w:szCs w:val="21"/>
        </w:rPr>
        <w:t xml:space="preserve">b) </w:t>
      </w:r>
      <w:r>
        <w:rPr>
          <w:rFonts w:hint="eastAsia" w:ascii="宋体" w:hAnsi="宋体"/>
          <w:szCs w:val="21"/>
        </w:rPr>
        <w:t>学术竞赛（学生为第一参加者或导师为第一参加者，学生为第二参加者；华南农业大学为第一署名单位）</w:t>
      </w:r>
    </w:p>
    <w:p>
      <w:pPr>
        <w:spacing w:line="360" w:lineRule="auto"/>
        <w:ind w:firstLine="420"/>
        <w:rPr>
          <w:rFonts w:ascii="宋体" w:hAnsi="宋体"/>
          <w:szCs w:val="21"/>
        </w:rPr>
      </w:pPr>
      <w:r>
        <w:rPr>
          <w:rFonts w:hint="eastAsia" w:ascii="宋体" w:hAnsi="宋体"/>
          <w:szCs w:val="21"/>
        </w:rPr>
        <w:t>Ⅰ</w:t>
      </w:r>
      <w:r>
        <w:rPr>
          <w:rFonts w:hint="eastAsia" w:ascii="宋体" w:hAnsi="宋体"/>
          <w:b/>
          <w:bCs/>
          <w:szCs w:val="21"/>
        </w:rPr>
        <w:t xml:space="preserve"> </w:t>
      </w:r>
      <w:r>
        <w:rPr>
          <w:rFonts w:hint="eastAsia" w:ascii="宋体" w:hAnsi="宋体"/>
          <w:szCs w:val="21"/>
        </w:rPr>
        <w:t>参加国家级竞赛，参加者加0.5分，一等奖加5分，二等奖加4分，三等奖加3分。</w:t>
      </w:r>
    </w:p>
    <w:p>
      <w:pPr>
        <w:spacing w:line="360" w:lineRule="auto"/>
        <w:ind w:firstLine="420"/>
        <w:rPr>
          <w:rFonts w:ascii="宋体" w:hAnsi="宋体"/>
          <w:szCs w:val="21"/>
        </w:rPr>
      </w:pPr>
      <w:r>
        <w:rPr>
          <w:rFonts w:hint="eastAsia" w:ascii="宋体" w:hAnsi="宋体"/>
          <w:szCs w:val="21"/>
        </w:rPr>
        <w:t>Ⅱ 参加省部级竞赛，参加者加0.4分，一等奖加4分，二等奖加3分，三等奖加2分。</w:t>
      </w:r>
    </w:p>
    <w:p>
      <w:pPr>
        <w:spacing w:line="360" w:lineRule="auto"/>
        <w:ind w:firstLine="420"/>
        <w:rPr>
          <w:rFonts w:ascii="宋体" w:hAnsi="宋体"/>
          <w:szCs w:val="21"/>
        </w:rPr>
      </w:pPr>
      <w:r>
        <w:rPr>
          <w:rFonts w:hint="eastAsia" w:ascii="宋体" w:hAnsi="宋体"/>
          <w:szCs w:val="21"/>
        </w:rPr>
        <w:t>Ⅲ 参加校级竞赛或企业组织的竞赛，参加者加0.25分，一等奖加2分，二等奖加1分，三等奖加0.5分。</w:t>
      </w:r>
    </w:p>
    <w:p>
      <w:pPr>
        <w:spacing w:line="360" w:lineRule="auto"/>
        <w:ind w:firstLine="420"/>
        <w:rPr>
          <w:rFonts w:ascii="宋体" w:hAnsi="宋体"/>
          <w:szCs w:val="21"/>
        </w:rPr>
      </w:pPr>
      <w:r>
        <w:rPr>
          <w:rFonts w:hint="eastAsia" w:ascii="宋体" w:hAnsi="宋体"/>
          <w:szCs w:val="21"/>
        </w:rPr>
        <w:t>Ⅳ 参加院级竞赛，参加者加0.2分，一等奖加1.5分，二等奖加0.75分，三等奖加0.35分。</w:t>
      </w:r>
    </w:p>
    <w:p>
      <w:pPr>
        <w:rPr>
          <w:sz w:val="18"/>
          <w:szCs w:val="18"/>
        </w:rPr>
      </w:pPr>
      <w:r>
        <w:rPr>
          <w:rFonts w:hint="eastAsia" w:ascii="宋体" w:hAnsi="宋体"/>
          <w:b/>
          <w:bCs/>
          <w:sz w:val="18"/>
          <w:szCs w:val="18"/>
        </w:rPr>
        <w:t>特殊说明</w:t>
      </w:r>
      <w:r>
        <w:rPr>
          <w:rFonts w:hint="eastAsia" w:ascii="宋体" w:hAnsi="宋体"/>
          <w:sz w:val="18"/>
          <w:szCs w:val="18"/>
        </w:rPr>
        <w:t>：创新创业类比赛归入学术竞赛，参照学术竞赛标准加分。</w:t>
      </w:r>
    </w:p>
    <w:p>
      <w:pPr>
        <w:spacing w:line="360" w:lineRule="auto"/>
        <w:ind w:firstLine="420"/>
        <w:rPr>
          <w:rFonts w:ascii="宋体" w:hAnsi="宋体"/>
          <w:szCs w:val="21"/>
        </w:rPr>
      </w:pPr>
      <w:r>
        <w:rPr>
          <w:rFonts w:hint="eastAsia" w:ascii="宋体" w:hAnsi="宋体"/>
          <w:b/>
          <w:bCs/>
          <w:szCs w:val="21"/>
        </w:rPr>
        <w:t xml:space="preserve">d) </w:t>
      </w:r>
      <w:r>
        <w:rPr>
          <w:rFonts w:hint="eastAsia" w:ascii="宋体" w:hAnsi="宋体"/>
          <w:szCs w:val="21"/>
        </w:rPr>
        <w:t>院内学术讲座</w:t>
      </w:r>
    </w:p>
    <w:p>
      <w:pPr>
        <w:spacing w:line="360" w:lineRule="auto"/>
        <w:ind w:firstLine="735" w:firstLineChars="350"/>
        <w:rPr>
          <w:rFonts w:ascii="宋体" w:hAnsi="宋体"/>
          <w:szCs w:val="21"/>
        </w:rPr>
      </w:pPr>
      <w:r>
        <w:rPr>
          <w:rFonts w:hint="eastAsia" w:ascii="宋体" w:hAnsi="宋体"/>
          <w:szCs w:val="21"/>
        </w:rPr>
        <w:t>参加院研究生会举办或负责签到的学术讲座，每人/次加0.2分</w:t>
      </w:r>
      <w:r>
        <w:rPr>
          <w:rFonts w:hint="eastAsia"/>
          <w:szCs w:val="21"/>
        </w:rPr>
        <w:t>（以院研会签到记录为准）</w:t>
      </w:r>
      <w:r>
        <w:rPr>
          <w:rFonts w:hint="eastAsia" w:ascii="宋体" w:hAnsi="宋体"/>
          <w:szCs w:val="21"/>
        </w:rPr>
        <w:t>，可累加，</w:t>
      </w:r>
      <w:r>
        <w:rPr>
          <w:rFonts w:hint="eastAsia" w:ascii="宋体" w:hAnsi="宋体"/>
          <w:szCs w:val="21"/>
          <w:u w:val="single"/>
        </w:rPr>
        <w:t>加分不超过1分</w:t>
      </w:r>
      <w:r>
        <w:rPr>
          <w:rFonts w:hint="eastAsia" w:ascii="宋体" w:hAnsi="宋体"/>
          <w:szCs w:val="21"/>
        </w:rPr>
        <w:t>。</w:t>
      </w:r>
    </w:p>
    <w:p>
      <w:pPr>
        <w:spacing w:line="360" w:lineRule="auto"/>
        <w:ind w:firstLine="420"/>
        <w:rPr>
          <w:rFonts w:ascii="宋体" w:hAnsi="宋体"/>
          <w:b/>
          <w:bCs/>
          <w:szCs w:val="21"/>
        </w:rPr>
      </w:pPr>
      <w:r>
        <w:rPr>
          <w:rFonts w:hint="eastAsia" w:ascii="宋体" w:hAnsi="宋体"/>
          <w:b/>
          <w:bCs/>
          <w:szCs w:val="21"/>
        </w:rPr>
        <w:t>智育类加分不得超过该项满分10分或20分。</w:t>
      </w:r>
    </w:p>
    <w:p>
      <w:pPr>
        <w:spacing w:before="156" w:beforeLines="50" w:after="156" w:afterLines="50" w:line="360" w:lineRule="auto"/>
        <w:ind w:firstLine="420"/>
        <w:outlineLvl w:val="0"/>
        <w:rPr>
          <w:b/>
          <w:bCs/>
          <w:sz w:val="24"/>
        </w:rPr>
      </w:pPr>
      <w:r>
        <w:rPr>
          <w:rFonts w:hint="eastAsia"/>
          <w:b/>
          <w:bCs/>
          <w:sz w:val="24"/>
        </w:rPr>
        <w:t>3</w:t>
      </w:r>
      <w:r>
        <w:rPr>
          <w:rFonts w:hint="eastAsia" w:ascii="宋体" w:hAnsi="宋体"/>
          <w:b/>
          <w:bCs/>
          <w:sz w:val="24"/>
        </w:rPr>
        <w:t>、体育评分</w:t>
      </w:r>
      <w:r>
        <w:rPr>
          <w:b/>
          <w:bCs/>
          <w:sz w:val="24"/>
        </w:rPr>
        <w:t>（</w:t>
      </w:r>
      <w:r>
        <w:rPr>
          <w:rFonts w:hint="eastAsia"/>
          <w:b/>
          <w:bCs/>
          <w:sz w:val="24"/>
        </w:rPr>
        <w:t>满分8</w:t>
      </w:r>
      <w:r>
        <w:rPr>
          <w:b/>
          <w:bCs/>
          <w:sz w:val="24"/>
        </w:rPr>
        <w:t>分）</w:t>
      </w:r>
    </w:p>
    <w:p>
      <w:pPr>
        <w:spacing w:line="360" w:lineRule="auto"/>
        <w:ind w:firstLine="420"/>
        <w:rPr>
          <w:rFonts w:ascii="宋体" w:hAnsi="宋体"/>
          <w:szCs w:val="21"/>
        </w:rPr>
      </w:pPr>
      <w:r>
        <w:rPr>
          <w:rFonts w:hint="eastAsia" w:ascii="宋体" w:hAnsi="宋体"/>
          <w:szCs w:val="21"/>
        </w:rPr>
        <w:t>体育测评由体育基础分和体育奖励分构成。其中体育基础分，满分为4分；体育奖励分，满分为4分。</w:t>
      </w:r>
    </w:p>
    <w:p>
      <w:pPr>
        <w:spacing w:line="360" w:lineRule="auto"/>
        <w:ind w:firstLine="310" w:firstLineChars="147"/>
        <w:outlineLvl w:val="0"/>
        <w:rPr>
          <w:b/>
          <w:bCs/>
          <w:szCs w:val="21"/>
        </w:rPr>
      </w:pPr>
      <w:r>
        <w:rPr>
          <w:rFonts w:hint="eastAsia"/>
          <w:b/>
          <w:bCs/>
          <w:szCs w:val="21"/>
        </w:rPr>
        <w:t>（1</w:t>
      </w:r>
      <w:r>
        <w:rPr>
          <w:rFonts w:hint="eastAsia" w:ascii="宋体" w:hAnsi="宋体"/>
          <w:b/>
          <w:bCs/>
          <w:szCs w:val="21"/>
        </w:rPr>
        <w:t>）体育基础分</w:t>
      </w:r>
    </w:p>
    <w:p>
      <w:pPr>
        <w:spacing w:line="360" w:lineRule="auto"/>
        <w:ind w:firstLine="420"/>
        <w:rPr>
          <w:rFonts w:ascii="宋体" w:hAnsi="宋体"/>
          <w:szCs w:val="21"/>
        </w:rPr>
      </w:pPr>
      <w:r>
        <w:rPr>
          <w:rFonts w:hint="eastAsia" w:ascii="宋体" w:hAnsi="宋体"/>
          <w:szCs w:val="21"/>
        </w:rPr>
        <w:t>积极参加体育锻炼，身体素质良好，学生即可获得体育基础分满分4分；不积极参加体育锻炼，身体素质较差，得2分。</w:t>
      </w:r>
    </w:p>
    <w:p>
      <w:pPr>
        <w:spacing w:line="360" w:lineRule="auto"/>
        <w:ind w:firstLine="310" w:firstLineChars="147"/>
        <w:outlineLvl w:val="0"/>
        <w:rPr>
          <w:b/>
          <w:bCs/>
          <w:szCs w:val="21"/>
        </w:rPr>
      </w:pPr>
      <w:r>
        <w:rPr>
          <w:rFonts w:hint="eastAsia"/>
          <w:b/>
          <w:bCs/>
          <w:szCs w:val="21"/>
        </w:rPr>
        <w:t>（2</w:t>
      </w:r>
      <w:r>
        <w:rPr>
          <w:rFonts w:hint="eastAsia" w:ascii="宋体" w:hAnsi="宋体"/>
          <w:b/>
          <w:bCs/>
          <w:szCs w:val="21"/>
        </w:rPr>
        <w:t>）体育加分及条件</w:t>
      </w:r>
    </w:p>
    <w:p>
      <w:pPr>
        <w:spacing w:line="360" w:lineRule="auto"/>
        <w:ind w:firstLine="420" w:firstLineChars="200"/>
        <w:rPr>
          <w:rFonts w:ascii="宋体" w:hAnsi="宋体"/>
          <w:szCs w:val="21"/>
        </w:rPr>
      </w:pPr>
      <w:r>
        <w:rPr>
          <w:rFonts w:hint="eastAsia"/>
          <w:szCs w:val="21"/>
        </w:rPr>
        <w:t xml:space="preserve">a) </w:t>
      </w:r>
      <w:r>
        <w:rPr>
          <w:rFonts w:hint="eastAsia" w:ascii="宋体" w:hAnsi="宋体"/>
          <w:szCs w:val="21"/>
        </w:rPr>
        <w:t>参加校级研究生足球、篮球团体联赛，参加者申请加0.3分，进入四强申请加1分，进入八强申请加0.5分不累计加分，记录员、裁判可申请加0.2分；参加院内篮、足球赛每人/次加0.2分。</w:t>
      </w:r>
    </w:p>
    <w:p>
      <w:pPr>
        <w:spacing w:line="360" w:lineRule="auto"/>
        <w:ind w:firstLine="420" w:firstLineChars="200"/>
        <w:rPr>
          <w:rFonts w:ascii="宋体" w:hAnsi="宋体"/>
          <w:szCs w:val="21"/>
        </w:rPr>
      </w:pPr>
      <w:r>
        <w:rPr>
          <w:rFonts w:hint="eastAsia"/>
          <w:szCs w:val="21"/>
        </w:rPr>
        <w:t>b)</w:t>
      </w:r>
      <w:r>
        <w:rPr>
          <w:rFonts w:hint="eastAsia" w:ascii="宋体" w:hAnsi="宋体"/>
          <w:szCs w:val="21"/>
        </w:rPr>
        <w:t>参加校级研究生羽毛球、乒乓球联赛，参加者可申请加0.2分，进入八强加0.3分，进入四强：道德荣誉奖加0.4分，三等奖（第三名）可申请加0.5分，二等奖（第二名）可申请加0.75分，一等奖（第一名）可申请加1分；记录员、裁判可申请加0.2分。</w:t>
      </w:r>
    </w:p>
    <w:p>
      <w:pPr>
        <w:spacing w:line="360" w:lineRule="auto"/>
        <w:ind w:firstLine="420" w:firstLineChars="200"/>
        <w:rPr>
          <w:szCs w:val="21"/>
        </w:rPr>
      </w:pPr>
      <w:r>
        <w:rPr>
          <w:szCs w:val="21"/>
        </w:rPr>
        <w:t>c</w:t>
      </w:r>
      <w:r>
        <w:rPr>
          <w:rFonts w:ascii="宋体" w:hAnsi="宋体"/>
          <w:szCs w:val="21"/>
        </w:rPr>
        <w:t>）</w:t>
      </w:r>
      <w:r>
        <w:rPr>
          <w:rFonts w:hint="eastAsia" w:ascii="宋体" w:hAnsi="宋体"/>
          <w:szCs w:val="21"/>
        </w:rPr>
        <w:t>参加校田径运动会、游泳运动会及其他院、校级体育比赛，每人次（包括仪仗队员、方阵队员、裁判）加0.3分，</w:t>
      </w:r>
      <w:r>
        <w:rPr>
          <w:rFonts w:hint="eastAsia" w:ascii="宋体" w:hAnsi="宋体"/>
          <w:szCs w:val="21"/>
          <w:u w:val="single"/>
        </w:rPr>
        <w:t>第1至8名分别加分为1.8到0.4分</w:t>
      </w:r>
      <w:r>
        <w:rPr>
          <w:rFonts w:hint="eastAsia" w:ascii="宋体" w:hAnsi="宋体"/>
          <w:szCs w:val="21"/>
        </w:rPr>
        <w:t>；参加院田径运动会、游泳运动会（包括仪仗队员、方阵队员、裁判），每人次加0.2分，第1至8名分别加分为1到0.3分，同时参加院、校运动会者基础分0.3分，两次获得的荣誉可累计加分；凡</w:t>
      </w:r>
      <w:r>
        <w:rPr>
          <w:rFonts w:hint="eastAsia" w:ascii="宋体" w:hAnsi="宋体"/>
          <w:szCs w:val="21"/>
          <w:u w:val="single"/>
        </w:rPr>
        <w:t>报名无故缺席比赛</w:t>
      </w:r>
      <w:r>
        <w:rPr>
          <w:rFonts w:hint="eastAsia"/>
          <w:szCs w:val="21"/>
          <w:u w:val="single"/>
        </w:rPr>
        <w:t>且在赛前未请假者每人次扣1</w:t>
      </w:r>
      <w:r>
        <w:rPr>
          <w:rFonts w:hint="eastAsia" w:ascii="宋体" w:hAnsi="宋体"/>
          <w:szCs w:val="21"/>
          <w:u w:val="single"/>
        </w:rPr>
        <w:t>分</w:t>
      </w:r>
      <w:r>
        <w:rPr>
          <w:rFonts w:hint="eastAsia"/>
          <w:szCs w:val="21"/>
        </w:rPr>
        <w:t>。</w:t>
      </w:r>
    </w:p>
    <w:p>
      <w:pPr>
        <w:spacing w:line="360" w:lineRule="auto"/>
        <w:ind w:firstLine="420" w:firstLineChars="200"/>
        <w:rPr>
          <w:szCs w:val="21"/>
        </w:rPr>
      </w:pPr>
      <w:r>
        <w:rPr>
          <w:szCs w:val="21"/>
        </w:rPr>
        <w:t>d</w:t>
      </w:r>
      <w:r>
        <w:rPr>
          <w:rFonts w:hint="eastAsia"/>
          <w:szCs w:val="21"/>
        </w:rPr>
        <w:t>）</w:t>
      </w:r>
      <w:r>
        <w:rPr>
          <w:szCs w:val="21"/>
        </w:rPr>
        <w:t>代表本校研究生参加或作为学校代表队成员参加广州地区和全省性各项比赛的，按两倍计算；参加全国性或国际性比赛的，以三倍计算。</w:t>
      </w:r>
    </w:p>
    <w:p>
      <w:pPr>
        <w:spacing w:line="360" w:lineRule="auto"/>
        <w:ind w:firstLine="482" w:firstLineChars="200"/>
        <w:rPr>
          <w:rFonts w:ascii="宋体" w:hAnsi="宋体"/>
          <w:b/>
          <w:bCs/>
          <w:sz w:val="24"/>
        </w:rPr>
      </w:pPr>
      <w:r>
        <w:rPr>
          <w:rFonts w:hint="eastAsia"/>
          <w:b/>
          <w:bCs/>
          <w:sz w:val="24"/>
        </w:rPr>
        <w:t>加分不得超过该项满分8</w:t>
      </w:r>
      <w:r>
        <w:rPr>
          <w:rFonts w:hint="eastAsia" w:ascii="宋体" w:hAnsi="宋体"/>
          <w:b/>
          <w:bCs/>
          <w:sz w:val="24"/>
        </w:rPr>
        <w:t>分。</w:t>
      </w:r>
    </w:p>
    <w:p>
      <w:pPr>
        <w:spacing w:line="360" w:lineRule="auto"/>
        <w:ind w:firstLine="420"/>
        <w:rPr>
          <w:rFonts w:eastAsia="仿宋_GB2312"/>
          <w:color w:val="FF0000"/>
          <w:sz w:val="24"/>
        </w:rPr>
      </w:pPr>
      <w:r>
        <w:rPr>
          <w:rFonts w:hint="eastAsia" w:eastAsia="仿宋_GB2312" w:cs="仿宋_GB2312"/>
          <w:color w:val="FF0000"/>
          <w:sz w:val="24"/>
          <w:lang w:bidi="ar"/>
        </w:rPr>
        <w:t>特别说明：</w:t>
      </w:r>
    </w:p>
    <w:p>
      <w:pPr>
        <w:spacing w:line="360" w:lineRule="auto"/>
        <w:rPr>
          <w:rFonts w:eastAsia="仿宋_GB2312"/>
          <w:color w:val="FF0000"/>
          <w:sz w:val="24"/>
        </w:rPr>
      </w:pPr>
      <w:r>
        <w:rPr>
          <w:rFonts w:hint="eastAsia" w:eastAsia="仿宋_GB2312" w:cs="仿宋_GB2312"/>
          <w:color w:val="FF0000"/>
          <w:sz w:val="24"/>
          <w:lang w:bidi="ar"/>
        </w:rPr>
        <w:t>（</w:t>
      </w:r>
      <w:r>
        <w:rPr>
          <w:rFonts w:eastAsia="仿宋_GB2312"/>
          <w:color w:val="FF0000"/>
          <w:sz w:val="24"/>
          <w:lang w:bidi="ar"/>
        </w:rPr>
        <w:t>1</w:t>
      </w:r>
      <w:r>
        <w:rPr>
          <w:rFonts w:hint="eastAsia" w:eastAsia="仿宋_GB2312" w:cs="仿宋_GB2312"/>
          <w:color w:val="FF0000"/>
          <w:sz w:val="24"/>
          <w:lang w:bidi="ar"/>
        </w:rPr>
        <w:t>）总分一样时，有发表</w:t>
      </w:r>
      <w:r>
        <w:rPr>
          <w:rFonts w:eastAsia="仿宋_GB2312"/>
          <w:color w:val="FF0000"/>
          <w:sz w:val="24"/>
          <w:lang w:bidi="ar"/>
        </w:rPr>
        <w:t>SCI</w:t>
      </w:r>
      <w:r>
        <w:rPr>
          <w:rFonts w:hint="eastAsia" w:eastAsia="仿宋_GB2312" w:cs="仿宋_GB2312"/>
          <w:color w:val="FF0000"/>
          <w:sz w:val="24"/>
          <w:lang w:bidi="ar"/>
        </w:rPr>
        <w:t>论文的，排名优先；</w:t>
      </w:r>
    </w:p>
    <w:p>
      <w:pPr>
        <w:spacing w:line="360" w:lineRule="auto"/>
        <w:rPr>
          <w:rFonts w:eastAsia="仿宋_GB2312"/>
          <w:color w:val="FF0000"/>
          <w:sz w:val="24"/>
        </w:rPr>
      </w:pPr>
      <w:r>
        <w:rPr>
          <w:rFonts w:hint="eastAsia" w:eastAsia="仿宋_GB2312" w:cs="仿宋_GB2312"/>
          <w:color w:val="FF0000"/>
          <w:sz w:val="24"/>
          <w:lang w:bidi="ar"/>
        </w:rPr>
        <w:t>（</w:t>
      </w:r>
      <w:r>
        <w:rPr>
          <w:rFonts w:eastAsia="仿宋_GB2312"/>
          <w:color w:val="FF0000"/>
          <w:sz w:val="24"/>
          <w:lang w:bidi="ar"/>
        </w:rPr>
        <w:t>2</w:t>
      </w:r>
      <w:r>
        <w:rPr>
          <w:rFonts w:hint="eastAsia" w:eastAsia="仿宋_GB2312" w:cs="仿宋_GB2312"/>
          <w:color w:val="FF0000"/>
          <w:sz w:val="24"/>
          <w:lang w:bidi="ar"/>
        </w:rPr>
        <w:t>）均有发表</w:t>
      </w:r>
      <w:r>
        <w:rPr>
          <w:rFonts w:eastAsia="仿宋_GB2312"/>
          <w:color w:val="FF0000"/>
          <w:sz w:val="24"/>
          <w:lang w:bidi="ar"/>
        </w:rPr>
        <w:t>SCI</w:t>
      </w:r>
      <w:r>
        <w:rPr>
          <w:rFonts w:hint="eastAsia" w:eastAsia="仿宋_GB2312" w:cs="仿宋_GB2312"/>
          <w:color w:val="FF0000"/>
          <w:sz w:val="24"/>
          <w:lang w:bidi="ar"/>
        </w:rPr>
        <w:t>的，以发表</w:t>
      </w:r>
      <w:r>
        <w:rPr>
          <w:rFonts w:eastAsia="仿宋_GB2312"/>
          <w:color w:val="FF0000"/>
          <w:sz w:val="24"/>
          <w:lang w:bidi="ar"/>
        </w:rPr>
        <w:t>SCI</w:t>
      </w:r>
      <w:r>
        <w:rPr>
          <w:rFonts w:hint="eastAsia" w:eastAsia="仿宋_GB2312" w:cs="仿宋_GB2312"/>
          <w:color w:val="FF0000"/>
          <w:sz w:val="24"/>
          <w:lang w:bidi="ar"/>
        </w:rPr>
        <w:t>论文的区间高者，排名优先，如：第一区高于第二区。</w:t>
      </w:r>
    </w:p>
    <w:p>
      <w:pPr>
        <w:spacing w:line="360" w:lineRule="auto"/>
        <w:rPr>
          <w:rFonts w:eastAsia="仿宋_GB2312"/>
          <w:color w:val="FF0000"/>
          <w:sz w:val="24"/>
        </w:rPr>
      </w:pPr>
      <w:r>
        <w:rPr>
          <w:rFonts w:hint="eastAsia" w:eastAsia="仿宋_GB2312" w:cs="仿宋_GB2312"/>
          <w:color w:val="FF0000"/>
          <w:sz w:val="24"/>
          <w:lang w:bidi="ar"/>
        </w:rPr>
        <w:t>（</w:t>
      </w:r>
      <w:r>
        <w:rPr>
          <w:rFonts w:eastAsia="仿宋_GB2312"/>
          <w:color w:val="FF0000"/>
          <w:sz w:val="24"/>
          <w:lang w:bidi="ar"/>
        </w:rPr>
        <w:t>3</w:t>
      </w:r>
      <w:r>
        <w:rPr>
          <w:rFonts w:hint="eastAsia" w:eastAsia="仿宋_GB2312" w:cs="仿宋_GB2312"/>
          <w:color w:val="FF0000"/>
          <w:sz w:val="24"/>
          <w:lang w:bidi="ar"/>
        </w:rPr>
        <w:t>）</w:t>
      </w:r>
      <w:r>
        <w:rPr>
          <w:rFonts w:eastAsia="仿宋_GB2312"/>
          <w:color w:val="FF0000"/>
          <w:sz w:val="24"/>
          <w:lang w:bidi="ar"/>
        </w:rPr>
        <w:t>SCI</w:t>
      </w:r>
      <w:r>
        <w:rPr>
          <w:rFonts w:hint="eastAsia" w:eastAsia="仿宋_GB2312" w:cs="仿宋_GB2312"/>
          <w:color w:val="FF0000"/>
          <w:sz w:val="24"/>
          <w:lang w:bidi="ar"/>
        </w:rPr>
        <w:t>论文的区间相同时，影响因子高的，排名优先；</w:t>
      </w:r>
    </w:p>
    <w:p>
      <w:pPr>
        <w:spacing w:line="360" w:lineRule="auto"/>
        <w:rPr>
          <w:rFonts w:eastAsia="仿宋_GB2312"/>
          <w:color w:val="FF0000"/>
          <w:sz w:val="24"/>
        </w:rPr>
      </w:pPr>
      <w:r>
        <w:rPr>
          <w:rFonts w:hint="eastAsia" w:eastAsia="仿宋_GB2312" w:cs="仿宋_GB2312"/>
          <w:color w:val="FF0000"/>
          <w:sz w:val="24"/>
          <w:lang w:bidi="ar"/>
        </w:rPr>
        <w:t>（</w:t>
      </w:r>
      <w:r>
        <w:rPr>
          <w:rFonts w:eastAsia="仿宋_GB2312"/>
          <w:color w:val="FF0000"/>
          <w:sz w:val="24"/>
          <w:lang w:bidi="ar"/>
        </w:rPr>
        <w:t>4</w:t>
      </w:r>
      <w:r>
        <w:rPr>
          <w:rFonts w:hint="eastAsia" w:eastAsia="仿宋_GB2312" w:cs="仿宋_GB2312"/>
          <w:color w:val="FF0000"/>
          <w:sz w:val="24"/>
          <w:lang w:bidi="ar"/>
        </w:rPr>
        <w:t>）均未发表</w:t>
      </w:r>
      <w:r>
        <w:rPr>
          <w:rFonts w:eastAsia="仿宋_GB2312"/>
          <w:color w:val="FF0000"/>
          <w:sz w:val="24"/>
          <w:lang w:bidi="ar"/>
        </w:rPr>
        <w:t>SCI</w:t>
      </w:r>
      <w:r>
        <w:rPr>
          <w:rFonts w:hint="eastAsia" w:eastAsia="仿宋_GB2312" w:cs="仿宋_GB2312"/>
          <w:color w:val="FF0000"/>
          <w:sz w:val="24"/>
          <w:lang w:bidi="ar"/>
        </w:rPr>
        <w:t>论文的，有发表</w:t>
      </w:r>
      <w:r>
        <w:rPr>
          <w:rFonts w:eastAsia="仿宋_GB2312"/>
          <w:color w:val="FF0000"/>
          <w:sz w:val="24"/>
          <w:lang w:bidi="ar"/>
        </w:rPr>
        <w:t>EI</w:t>
      </w:r>
      <w:r>
        <w:rPr>
          <w:rFonts w:hint="eastAsia" w:eastAsia="仿宋_GB2312" w:cs="仿宋_GB2312"/>
          <w:color w:val="FF0000"/>
          <w:sz w:val="24"/>
          <w:lang w:bidi="ar"/>
        </w:rPr>
        <w:t>论文的，排名优先；</w:t>
      </w:r>
    </w:p>
    <w:p>
      <w:pPr>
        <w:spacing w:line="360" w:lineRule="auto"/>
        <w:rPr>
          <w:rFonts w:ascii="仿宋_GB2312" w:hAnsi="宋体" w:eastAsia="仿宋_GB2312" w:cs="仿宋_GB2312"/>
          <w:color w:val="FF0000"/>
          <w:sz w:val="24"/>
        </w:rPr>
      </w:pPr>
      <w:r>
        <w:rPr>
          <w:rFonts w:hint="eastAsia" w:eastAsia="仿宋_GB2312" w:cs="仿宋_GB2312"/>
          <w:color w:val="FF0000"/>
          <w:sz w:val="24"/>
          <w:lang w:bidi="ar"/>
        </w:rPr>
        <w:t>（</w:t>
      </w:r>
      <w:r>
        <w:rPr>
          <w:rFonts w:eastAsia="仿宋_GB2312"/>
          <w:color w:val="FF0000"/>
          <w:sz w:val="24"/>
          <w:lang w:bidi="ar"/>
        </w:rPr>
        <w:t>5</w:t>
      </w:r>
      <w:r>
        <w:rPr>
          <w:rFonts w:hint="eastAsia" w:eastAsia="仿宋_GB2312" w:cs="仿宋_GB2312"/>
          <w:color w:val="FF0000"/>
          <w:sz w:val="24"/>
          <w:lang w:bidi="ar"/>
        </w:rPr>
        <w:t>）均未发表</w:t>
      </w:r>
      <w:r>
        <w:rPr>
          <w:rFonts w:eastAsia="仿宋_GB2312"/>
          <w:color w:val="FF0000"/>
          <w:sz w:val="24"/>
          <w:lang w:bidi="ar"/>
        </w:rPr>
        <w:t>SCI</w:t>
      </w:r>
      <w:r>
        <w:rPr>
          <w:rFonts w:hint="eastAsia" w:eastAsia="仿宋_GB2312" w:cs="仿宋_GB2312"/>
          <w:color w:val="FF0000"/>
          <w:sz w:val="24"/>
          <w:lang w:bidi="ar"/>
        </w:rPr>
        <w:t>论文和</w:t>
      </w:r>
      <w:r>
        <w:rPr>
          <w:rFonts w:eastAsia="仿宋_GB2312"/>
          <w:color w:val="FF0000"/>
          <w:sz w:val="24"/>
          <w:lang w:bidi="ar"/>
        </w:rPr>
        <w:t>EI</w:t>
      </w:r>
      <w:r>
        <w:rPr>
          <w:rFonts w:hint="eastAsia" w:eastAsia="仿宋_GB2312" w:cs="仿宋_GB2312"/>
          <w:color w:val="FF0000"/>
          <w:sz w:val="24"/>
          <w:lang w:bidi="ar"/>
        </w:rPr>
        <w:t>论文的，有在</w:t>
      </w:r>
      <w:r>
        <w:rPr>
          <w:rFonts w:hint="eastAsia" w:ascii="仿宋_GB2312" w:hAnsi="宋体" w:eastAsia="仿宋_GB2312" w:cs="仿宋_GB2312"/>
          <w:color w:val="FF0000"/>
          <w:sz w:val="24"/>
          <w:lang w:bidi="ar"/>
        </w:rPr>
        <w:t>北大中文核心期刊要目总览学科分类排名在前</w:t>
      </w:r>
      <w:r>
        <w:rPr>
          <w:rFonts w:eastAsia="仿宋_GB2312"/>
          <w:color w:val="FF0000"/>
          <w:sz w:val="24"/>
          <w:lang w:bidi="ar"/>
        </w:rPr>
        <w:t>25%</w:t>
      </w:r>
      <w:r>
        <w:rPr>
          <w:rFonts w:hint="eastAsia" w:ascii="仿宋_GB2312" w:hAnsi="宋体" w:eastAsia="仿宋_GB2312" w:cs="仿宋_GB2312"/>
          <w:color w:val="FF0000"/>
          <w:sz w:val="24"/>
          <w:lang w:bidi="ar"/>
        </w:rPr>
        <w:t>以内名次发表学术刊物的，排名</w:t>
      </w:r>
      <w:r>
        <w:rPr>
          <w:rFonts w:hint="eastAsia" w:eastAsia="仿宋_GB2312" w:cs="仿宋_GB2312"/>
          <w:color w:val="FF0000"/>
          <w:sz w:val="24"/>
          <w:lang w:bidi="ar"/>
        </w:rPr>
        <w:t>优先</w:t>
      </w:r>
      <w:r>
        <w:rPr>
          <w:rFonts w:hint="eastAsia" w:ascii="仿宋_GB2312" w:hAnsi="宋体" w:eastAsia="仿宋_GB2312" w:cs="仿宋_GB2312"/>
          <w:color w:val="FF0000"/>
          <w:sz w:val="24"/>
          <w:lang w:bidi="ar"/>
        </w:rPr>
        <w:t>；</w:t>
      </w:r>
    </w:p>
    <w:p>
      <w:pPr>
        <w:spacing w:line="360" w:lineRule="auto"/>
        <w:rPr>
          <w:rFonts w:ascii="仿宋_GB2312" w:hAnsi="宋体" w:eastAsia="仿宋_GB2312" w:cs="仿宋_GB2312"/>
          <w:color w:val="FF0000"/>
          <w:sz w:val="24"/>
        </w:rPr>
      </w:pPr>
      <w:r>
        <w:rPr>
          <w:rFonts w:hint="eastAsia" w:ascii="仿宋_GB2312" w:hAnsi="宋体" w:eastAsia="仿宋_GB2312" w:cs="仿宋_GB2312"/>
          <w:color w:val="FF0000"/>
          <w:sz w:val="24"/>
          <w:lang w:bidi="ar"/>
        </w:rPr>
        <w:t>（6）</w:t>
      </w:r>
      <w:r>
        <w:rPr>
          <w:rFonts w:hint="eastAsia" w:eastAsia="仿宋_GB2312" w:cs="仿宋_GB2312"/>
          <w:color w:val="FF0000"/>
          <w:sz w:val="24"/>
          <w:lang w:bidi="ar"/>
        </w:rPr>
        <w:t>均未发表</w:t>
      </w:r>
      <w:r>
        <w:rPr>
          <w:rFonts w:eastAsia="仿宋_GB2312"/>
          <w:color w:val="FF0000"/>
          <w:sz w:val="24"/>
          <w:lang w:bidi="ar"/>
        </w:rPr>
        <w:t>SCI</w:t>
      </w:r>
      <w:r>
        <w:rPr>
          <w:rFonts w:hint="eastAsia" w:eastAsia="仿宋_GB2312" w:cs="仿宋_GB2312"/>
          <w:color w:val="FF0000"/>
          <w:sz w:val="24"/>
          <w:lang w:bidi="ar"/>
        </w:rPr>
        <w:t>论文和</w:t>
      </w:r>
      <w:r>
        <w:rPr>
          <w:rFonts w:eastAsia="仿宋_GB2312"/>
          <w:color w:val="FF0000"/>
          <w:sz w:val="24"/>
          <w:lang w:bidi="ar"/>
        </w:rPr>
        <w:t>EI</w:t>
      </w:r>
      <w:r>
        <w:rPr>
          <w:rFonts w:hint="eastAsia" w:eastAsia="仿宋_GB2312" w:cs="仿宋_GB2312"/>
          <w:color w:val="FF0000"/>
          <w:sz w:val="24"/>
          <w:lang w:bidi="ar"/>
        </w:rPr>
        <w:t>论文的，均有在</w:t>
      </w:r>
      <w:r>
        <w:rPr>
          <w:rFonts w:hint="eastAsia" w:ascii="仿宋_GB2312" w:hAnsi="宋体" w:eastAsia="仿宋_GB2312" w:cs="仿宋_GB2312"/>
          <w:color w:val="FF0000"/>
          <w:sz w:val="24"/>
          <w:lang w:bidi="ar"/>
        </w:rPr>
        <w:t>北大中文核心期刊要目总览学科分类排名在前</w:t>
      </w:r>
      <w:r>
        <w:rPr>
          <w:rFonts w:eastAsia="仿宋_GB2312"/>
          <w:color w:val="FF0000"/>
          <w:sz w:val="24"/>
          <w:lang w:bidi="ar"/>
        </w:rPr>
        <w:t>25%</w:t>
      </w:r>
      <w:r>
        <w:rPr>
          <w:rFonts w:hint="eastAsia" w:ascii="仿宋_GB2312" w:hAnsi="宋体" w:eastAsia="仿宋_GB2312" w:cs="仿宋_GB2312"/>
          <w:color w:val="FF0000"/>
          <w:sz w:val="24"/>
          <w:lang w:bidi="ar"/>
        </w:rPr>
        <w:t>以内名次发表学术刊物的，期刊排名靠前的，排名优先；</w:t>
      </w:r>
    </w:p>
    <w:p>
      <w:pPr>
        <w:spacing w:line="360" w:lineRule="auto"/>
        <w:rPr>
          <w:rFonts w:eastAsia="仿宋_GB2312"/>
          <w:color w:val="FF0000"/>
          <w:sz w:val="24"/>
        </w:rPr>
      </w:pPr>
      <w:r>
        <w:rPr>
          <w:rFonts w:hint="eastAsia" w:ascii="仿宋_GB2312" w:hAnsi="宋体" w:eastAsia="仿宋_GB2312" w:cs="仿宋_GB2312"/>
          <w:color w:val="FF0000"/>
          <w:sz w:val="24"/>
          <w:lang w:bidi="ar"/>
        </w:rPr>
        <w:t>（7）其他情况，论文见刊时间早的，排名优先</w:t>
      </w:r>
      <w:r>
        <w:rPr>
          <w:rFonts w:hint="eastAsia" w:eastAsia="仿宋_GB2312" w:cs="仿宋_GB2312"/>
          <w:color w:val="FF0000"/>
          <w:sz w:val="24"/>
          <w:lang w:bidi="ar"/>
        </w:rPr>
        <w:t>。</w:t>
      </w:r>
    </w:p>
    <w:p>
      <w:pPr>
        <w:spacing w:line="360" w:lineRule="auto"/>
        <w:ind w:firstLine="482" w:firstLineChars="200"/>
        <w:rPr>
          <w:rFonts w:ascii="宋体" w:hAnsi="宋体"/>
          <w:b/>
          <w:bCs/>
          <w:sz w:val="24"/>
        </w:rPr>
      </w:pPr>
    </w:p>
    <w:p>
      <w:pPr>
        <w:spacing w:before="156" w:beforeLines="50" w:after="156" w:afterLines="50" w:line="360" w:lineRule="auto"/>
        <w:ind w:firstLine="412" w:firstLineChars="171"/>
        <w:outlineLvl w:val="0"/>
        <w:rPr>
          <w:rFonts w:ascii="宋体" w:hAnsi="宋体"/>
          <w:b/>
          <w:bCs/>
          <w:kern w:val="0"/>
          <w:sz w:val="24"/>
        </w:rPr>
      </w:pPr>
      <w:r>
        <w:rPr>
          <w:rFonts w:hint="eastAsia" w:ascii="宋体" w:hAnsi="宋体"/>
          <w:b/>
          <w:bCs/>
          <w:kern w:val="0"/>
          <w:sz w:val="24"/>
        </w:rPr>
        <w:t>二、综合测评程序</w:t>
      </w:r>
    </w:p>
    <w:p>
      <w:pPr>
        <w:spacing w:line="360" w:lineRule="auto"/>
        <w:ind w:firstLine="420" w:firstLineChars="200"/>
        <w:rPr>
          <w:szCs w:val="21"/>
        </w:rPr>
      </w:pPr>
      <w:r>
        <w:rPr>
          <w:szCs w:val="21"/>
        </w:rPr>
        <w:t>1</w:t>
      </w:r>
      <w:r>
        <w:rPr>
          <w:rFonts w:ascii="宋体" w:hAnsi="宋体"/>
          <w:szCs w:val="21"/>
        </w:rPr>
        <w:t>．各研究生班组织研究生学习综合测评文件，进行个人总结、自我评价。</w:t>
      </w:r>
    </w:p>
    <w:p>
      <w:pPr>
        <w:spacing w:line="360" w:lineRule="auto"/>
        <w:rPr>
          <w:szCs w:val="21"/>
        </w:rPr>
      </w:pPr>
      <w:r>
        <w:rPr>
          <w:szCs w:val="21"/>
        </w:rPr>
        <w:t xml:space="preserve">    2</w:t>
      </w:r>
      <w:r>
        <w:rPr>
          <w:rFonts w:ascii="宋体" w:hAnsi="宋体"/>
          <w:szCs w:val="21"/>
        </w:rPr>
        <w:t>．学院各班研究生测评工作组分别对每个研究生进行评议。研究生测评工作小组由本班班委、党支部干部及研究生代表（</w:t>
      </w:r>
      <w:r>
        <w:rPr>
          <w:szCs w:val="21"/>
        </w:rPr>
        <w:t>2</w:t>
      </w:r>
      <w:r>
        <w:rPr>
          <w:rFonts w:ascii="宋体" w:hAnsi="宋体"/>
          <w:szCs w:val="21"/>
        </w:rPr>
        <w:t>名，原则上一男一女）组成</w:t>
      </w:r>
      <w:r>
        <w:rPr>
          <w:rFonts w:hint="eastAsia"/>
          <w:szCs w:val="21"/>
        </w:rPr>
        <w:t>；博士生不需要组成评测小组，由年级负责人及组织部安排评测工作。</w:t>
      </w:r>
    </w:p>
    <w:p>
      <w:pPr>
        <w:spacing w:line="360" w:lineRule="auto"/>
        <w:ind w:firstLine="420"/>
        <w:rPr>
          <w:spacing w:val="-4"/>
          <w:szCs w:val="21"/>
        </w:rPr>
      </w:pPr>
      <w:r>
        <w:rPr>
          <w:szCs w:val="21"/>
        </w:rPr>
        <w:t>3</w:t>
      </w:r>
      <w:r>
        <w:rPr>
          <w:rFonts w:ascii="宋体" w:hAnsi="宋体"/>
          <w:szCs w:val="21"/>
        </w:rPr>
        <w:t>．</w:t>
      </w:r>
      <w:r>
        <w:rPr>
          <w:spacing w:val="-4"/>
          <w:szCs w:val="21"/>
        </w:rPr>
        <w:t>由学院研究生</w:t>
      </w:r>
      <w:r>
        <w:rPr>
          <w:rFonts w:hint="eastAsia"/>
          <w:spacing w:val="-4"/>
          <w:szCs w:val="21"/>
        </w:rPr>
        <w:t>综合测评</w:t>
      </w:r>
      <w:r>
        <w:rPr>
          <w:spacing w:val="-4"/>
          <w:szCs w:val="21"/>
        </w:rPr>
        <w:t>工作</w:t>
      </w:r>
      <w:r>
        <w:rPr>
          <w:rFonts w:hint="eastAsia"/>
          <w:spacing w:val="-4"/>
          <w:szCs w:val="21"/>
        </w:rPr>
        <w:t>小</w:t>
      </w:r>
      <w:r>
        <w:rPr>
          <w:spacing w:val="-4"/>
          <w:szCs w:val="21"/>
        </w:rPr>
        <w:t>组负责研究生考核结果的统计、审核，并将初评结果张榜公示；</w:t>
      </w:r>
    </w:p>
    <w:p>
      <w:pPr>
        <w:spacing w:line="360" w:lineRule="auto"/>
        <w:ind w:firstLine="420"/>
        <w:rPr>
          <w:szCs w:val="21"/>
        </w:rPr>
      </w:pPr>
      <w:r>
        <w:rPr>
          <w:szCs w:val="21"/>
        </w:rPr>
        <w:t>4</w:t>
      </w:r>
      <w:r>
        <w:rPr>
          <w:rFonts w:ascii="宋体" w:hAnsi="宋体"/>
          <w:szCs w:val="21"/>
        </w:rPr>
        <w:t>．研究生对考核结果有异议的，可在规定时间内向学院</w:t>
      </w:r>
      <w:r>
        <w:rPr>
          <w:rFonts w:hint="eastAsia" w:ascii="宋体" w:hAnsi="宋体"/>
          <w:szCs w:val="21"/>
        </w:rPr>
        <w:t>研</w:t>
      </w:r>
      <w:r>
        <w:rPr>
          <w:spacing w:val="-4"/>
          <w:szCs w:val="21"/>
        </w:rPr>
        <w:t>究生</w:t>
      </w:r>
      <w:r>
        <w:rPr>
          <w:rFonts w:hint="eastAsia"/>
          <w:spacing w:val="-4"/>
          <w:szCs w:val="21"/>
        </w:rPr>
        <w:t>综合测评</w:t>
      </w:r>
      <w:r>
        <w:rPr>
          <w:spacing w:val="-4"/>
          <w:szCs w:val="21"/>
        </w:rPr>
        <w:t>工作</w:t>
      </w:r>
      <w:r>
        <w:rPr>
          <w:rFonts w:hint="eastAsia"/>
          <w:spacing w:val="-4"/>
          <w:szCs w:val="21"/>
        </w:rPr>
        <w:t>小</w:t>
      </w:r>
      <w:r>
        <w:rPr>
          <w:spacing w:val="-4"/>
          <w:szCs w:val="21"/>
        </w:rPr>
        <w:t>组</w:t>
      </w:r>
      <w:r>
        <w:rPr>
          <w:szCs w:val="21"/>
        </w:rPr>
        <w:t>申请复议；</w:t>
      </w:r>
    </w:p>
    <w:p>
      <w:pPr>
        <w:spacing w:line="360" w:lineRule="auto"/>
        <w:ind w:firstLine="420"/>
        <w:rPr>
          <w:szCs w:val="21"/>
        </w:rPr>
      </w:pPr>
      <w:r>
        <w:rPr>
          <w:szCs w:val="21"/>
        </w:rPr>
        <w:t>5</w:t>
      </w:r>
      <w:r>
        <w:rPr>
          <w:rFonts w:ascii="宋体" w:hAnsi="宋体"/>
          <w:szCs w:val="21"/>
        </w:rPr>
        <w:t>．</w:t>
      </w:r>
      <w:r>
        <w:rPr>
          <w:rFonts w:hint="eastAsia"/>
          <w:szCs w:val="21"/>
        </w:rPr>
        <w:t>研</w:t>
      </w:r>
      <w:r>
        <w:rPr>
          <w:spacing w:val="-4"/>
          <w:szCs w:val="21"/>
        </w:rPr>
        <w:t>究生</w:t>
      </w:r>
      <w:r>
        <w:rPr>
          <w:rFonts w:hint="eastAsia"/>
          <w:spacing w:val="-4"/>
          <w:szCs w:val="21"/>
        </w:rPr>
        <w:t>综合测评</w:t>
      </w:r>
      <w:r>
        <w:rPr>
          <w:spacing w:val="-4"/>
          <w:szCs w:val="21"/>
        </w:rPr>
        <w:t>工作</w:t>
      </w:r>
      <w:r>
        <w:rPr>
          <w:rFonts w:hint="eastAsia"/>
          <w:spacing w:val="-4"/>
          <w:szCs w:val="21"/>
        </w:rPr>
        <w:t>小</w:t>
      </w:r>
      <w:r>
        <w:rPr>
          <w:spacing w:val="-4"/>
          <w:szCs w:val="21"/>
        </w:rPr>
        <w:t>组</w:t>
      </w:r>
      <w:r>
        <w:rPr>
          <w:szCs w:val="21"/>
        </w:rPr>
        <w:t>审定，研究生工作组组长签字并加盖公章后公布测评结果；</w:t>
      </w:r>
    </w:p>
    <w:p>
      <w:pPr>
        <w:spacing w:line="360" w:lineRule="auto"/>
        <w:ind w:firstLine="420"/>
        <w:rPr>
          <w:szCs w:val="21"/>
        </w:rPr>
      </w:pPr>
      <w:r>
        <w:rPr>
          <w:szCs w:val="21"/>
        </w:rPr>
        <w:t>6</w:t>
      </w:r>
      <w:r>
        <w:rPr>
          <w:rFonts w:ascii="宋体" w:hAnsi="宋体"/>
          <w:szCs w:val="21"/>
        </w:rPr>
        <w:t>．所有考核材料由学院备案、存档。</w:t>
      </w:r>
    </w:p>
    <w:p>
      <w:pPr>
        <w:rPr>
          <w:rFonts w:ascii="宋体" w:hAnsi="宋体"/>
          <w:b/>
          <w:bCs/>
          <w:kern w:val="0"/>
          <w:sz w:val="24"/>
        </w:rPr>
      </w:pPr>
      <w:r>
        <w:rPr>
          <w:rFonts w:hint="eastAsia"/>
          <w:szCs w:val="21"/>
        </w:rPr>
        <w:t xml:space="preserve"> </w:t>
      </w:r>
      <w:r>
        <w:rPr>
          <w:rFonts w:ascii="宋体" w:hAnsi="宋体"/>
          <w:b/>
          <w:bCs/>
          <w:kern w:val="0"/>
          <w:sz w:val="24"/>
        </w:rPr>
        <w:t>三</w:t>
      </w:r>
      <w:r>
        <w:rPr>
          <w:rFonts w:hint="eastAsia" w:ascii="宋体" w:hAnsi="宋体"/>
          <w:b/>
          <w:bCs/>
          <w:kern w:val="0"/>
          <w:sz w:val="24"/>
        </w:rPr>
        <w:t>、</w:t>
      </w:r>
      <w:r>
        <w:rPr>
          <w:rFonts w:ascii="宋体" w:hAnsi="宋体"/>
          <w:b/>
          <w:bCs/>
          <w:kern w:val="0"/>
          <w:sz w:val="24"/>
        </w:rPr>
        <w:t>奖学金等级及比例</w:t>
      </w:r>
    </w:p>
    <w:p>
      <w:pPr>
        <w:spacing w:before="156" w:beforeLines="50" w:after="156" w:afterLines="50" w:line="360" w:lineRule="auto"/>
        <w:ind w:firstLine="410" w:firstLineChars="171"/>
        <w:outlineLvl w:val="0"/>
        <w:rPr>
          <w:rFonts w:ascii="宋体" w:hAnsi="宋体"/>
          <w:bCs/>
          <w:kern w:val="0"/>
          <w:sz w:val="24"/>
        </w:rPr>
      </w:pPr>
      <w:r>
        <w:rPr>
          <w:rFonts w:hint="eastAsia" w:ascii="宋体" w:hAnsi="宋体"/>
          <w:bCs/>
          <w:kern w:val="0"/>
          <w:sz w:val="24"/>
        </w:rPr>
        <w:t>1.非定向全日制研究生享受荣誉和奖励，委培定向全日制研究生仅获荣誉。</w:t>
      </w:r>
    </w:p>
    <w:p>
      <w:pPr>
        <w:spacing w:before="156" w:beforeLines="50" w:after="156" w:afterLines="50" w:line="360" w:lineRule="auto"/>
        <w:ind w:firstLine="410" w:firstLineChars="171"/>
        <w:outlineLvl w:val="0"/>
        <w:rPr>
          <w:rFonts w:ascii="宋体" w:hAnsi="宋体"/>
          <w:bCs/>
          <w:kern w:val="0"/>
          <w:sz w:val="24"/>
        </w:rPr>
      </w:pPr>
      <w:r>
        <w:rPr>
          <w:rFonts w:hint="eastAsia" w:ascii="宋体" w:hAnsi="宋体"/>
          <w:bCs/>
          <w:kern w:val="0"/>
          <w:sz w:val="24"/>
        </w:rPr>
        <w:t>2.非定向全日制研究生（含博士、硕士）奖学金比例及金额</w:t>
      </w:r>
    </w:p>
    <w:tbl>
      <w:tblPr>
        <w:tblStyle w:val="7"/>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425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2263"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等级</w:t>
            </w:r>
          </w:p>
        </w:tc>
        <w:tc>
          <w:tcPr>
            <w:tcW w:w="4253"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金额（元/年·人）</w:t>
            </w:r>
          </w:p>
        </w:tc>
        <w:tc>
          <w:tcPr>
            <w:tcW w:w="1701"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覆盖比例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一等</w:t>
            </w:r>
          </w:p>
        </w:tc>
        <w:tc>
          <w:tcPr>
            <w:tcW w:w="4253"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2000</w:t>
            </w:r>
          </w:p>
        </w:tc>
        <w:tc>
          <w:tcPr>
            <w:tcW w:w="1701"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二等</w:t>
            </w:r>
          </w:p>
        </w:tc>
        <w:tc>
          <w:tcPr>
            <w:tcW w:w="4253"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1200</w:t>
            </w:r>
          </w:p>
        </w:tc>
        <w:tc>
          <w:tcPr>
            <w:tcW w:w="1701" w:type="dxa"/>
            <w:vAlign w:val="center"/>
          </w:tcPr>
          <w:p>
            <w:pPr>
              <w:spacing w:before="156" w:beforeLines="50" w:after="156" w:afterLines="50" w:line="240" w:lineRule="atLeast"/>
              <w:jc w:val="center"/>
              <w:outlineLvl w:val="0"/>
              <w:rPr>
                <w:rFonts w:ascii="宋体" w:hAnsi="宋体"/>
                <w:bCs/>
                <w:kern w:val="0"/>
                <w:sz w:val="24"/>
              </w:rPr>
            </w:pPr>
            <w:r>
              <w:rPr>
                <w:rFonts w:hint="eastAsia" w:ascii="宋体" w:hAnsi="宋体"/>
                <w:bCs/>
                <w:kern w:val="0"/>
                <w:sz w:val="24"/>
              </w:rPr>
              <w:t>25%</w:t>
            </w:r>
          </w:p>
        </w:tc>
      </w:tr>
    </w:tbl>
    <w:p>
      <w:pPr>
        <w:spacing w:before="156" w:beforeLines="50" w:after="156" w:afterLines="50" w:line="360" w:lineRule="auto"/>
        <w:ind w:firstLine="412" w:firstLineChars="171"/>
        <w:outlineLvl w:val="0"/>
        <w:rPr>
          <w:rFonts w:ascii="宋体" w:hAnsi="宋体"/>
          <w:b/>
          <w:sz w:val="24"/>
        </w:rPr>
      </w:pPr>
      <w:r>
        <w:rPr>
          <w:rFonts w:hint="eastAsia" w:ascii="宋体" w:hAnsi="宋体"/>
          <w:b/>
          <w:bCs/>
          <w:kern w:val="0"/>
          <w:sz w:val="24"/>
        </w:rPr>
        <w:t>四</w:t>
      </w:r>
      <w:r>
        <w:rPr>
          <w:rFonts w:ascii="宋体" w:hAnsi="宋体"/>
          <w:b/>
          <w:bCs/>
          <w:kern w:val="0"/>
          <w:sz w:val="24"/>
        </w:rPr>
        <w:t>、</w:t>
      </w:r>
      <w:r>
        <w:rPr>
          <w:rFonts w:hint="eastAsia" w:ascii="宋体" w:hAnsi="宋体"/>
          <w:b/>
          <w:bCs/>
          <w:kern w:val="0"/>
          <w:sz w:val="24"/>
        </w:rPr>
        <w:t>奖学金的</w:t>
      </w:r>
      <w:r>
        <w:rPr>
          <w:rFonts w:hint="eastAsia" w:ascii="宋体" w:hAnsi="宋体"/>
          <w:b/>
          <w:sz w:val="24"/>
        </w:rPr>
        <w:t>评选条件</w:t>
      </w:r>
    </w:p>
    <w:p>
      <w:pPr>
        <w:spacing w:line="360" w:lineRule="auto"/>
        <w:ind w:firstLine="420"/>
        <w:rPr>
          <w:rFonts w:ascii="宋体" w:hAnsi="宋体"/>
          <w:b/>
          <w:sz w:val="24"/>
        </w:rPr>
      </w:pPr>
      <w:r>
        <w:rPr>
          <w:rFonts w:hint="eastAsia" w:ascii="宋体" w:hAnsi="宋体"/>
          <w:b/>
          <w:sz w:val="24"/>
        </w:rPr>
        <w:t>（一）</w:t>
      </w:r>
      <w:r>
        <w:rPr>
          <w:rFonts w:ascii="宋体" w:hAnsi="宋体"/>
          <w:b/>
          <w:sz w:val="24"/>
        </w:rPr>
        <w:t>研究生</w:t>
      </w:r>
      <w:r>
        <w:rPr>
          <w:rFonts w:hint="eastAsia" w:ascii="宋体" w:hAnsi="宋体"/>
          <w:b/>
          <w:sz w:val="24"/>
        </w:rPr>
        <w:t>校级优秀研究生</w:t>
      </w:r>
      <w:r>
        <w:rPr>
          <w:rFonts w:ascii="宋体" w:hAnsi="宋体"/>
          <w:b/>
          <w:sz w:val="24"/>
        </w:rPr>
        <w:t>奖学金一等奖</w:t>
      </w:r>
    </w:p>
    <w:p>
      <w:pPr>
        <w:spacing w:line="360" w:lineRule="auto"/>
        <w:ind w:firstLine="420"/>
        <w:rPr>
          <w:rFonts w:ascii="宋体" w:hAnsi="宋体"/>
          <w:bCs/>
          <w:szCs w:val="21"/>
        </w:rPr>
      </w:pPr>
      <w:r>
        <w:rPr>
          <w:rFonts w:hint="eastAsia" w:ascii="宋体" w:hAnsi="宋体"/>
          <w:bCs/>
          <w:szCs w:val="21"/>
        </w:rPr>
        <w:t>修完并通过年限内的全部课程，在就读研究生阶段，满足</w:t>
      </w:r>
      <w:r>
        <w:rPr>
          <w:rFonts w:hint="eastAsia" w:ascii="宋体" w:hAnsi="宋体"/>
          <w:b/>
          <w:szCs w:val="21"/>
          <w:u w:val="single"/>
        </w:rPr>
        <w:t>下列条件之一</w:t>
      </w:r>
      <w:r>
        <w:rPr>
          <w:rFonts w:hint="eastAsia" w:ascii="宋体" w:hAnsi="宋体"/>
          <w:bCs/>
          <w:szCs w:val="21"/>
        </w:rPr>
        <w:t>即可申请：</w:t>
      </w:r>
    </w:p>
    <w:p>
      <w:pPr>
        <w:spacing w:line="360" w:lineRule="auto"/>
        <w:ind w:left="630" w:leftChars="200" w:hanging="210" w:hangingChars="100"/>
        <w:rPr>
          <w:rFonts w:ascii="宋体" w:hAnsi="宋体"/>
          <w:b/>
          <w:u w:val="single"/>
        </w:rPr>
      </w:pPr>
      <w:r>
        <w:rPr>
          <w:rFonts w:ascii="宋体" w:hAnsi="宋体"/>
          <w:u w:val="single"/>
        </w:rPr>
        <w:t>1.</w:t>
      </w:r>
      <w:r>
        <w:rPr>
          <w:rFonts w:hint="eastAsia" w:ascii="宋体" w:hAnsi="宋体"/>
          <w:u w:val="single"/>
        </w:rPr>
        <w:t>以</w:t>
      </w:r>
      <w:r>
        <w:rPr>
          <w:rFonts w:ascii="宋体" w:hAnsi="宋体"/>
          <w:u w:val="single"/>
        </w:rPr>
        <w:t>第一作者</w:t>
      </w:r>
      <w:r>
        <w:rPr>
          <w:rFonts w:hint="eastAsia" w:ascii="宋体" w:hAnsi="宋体"/>
          <w:u w:val="single"/>
        </w:rPr>
        <w:t>（若为共同第一作者，要求其位置排序为第一位）已</w:t>
      </w:r>
      <w:r>
        <w:rPr>
          <w:rFonts w:ascii="宋体" w:hAnsi="宋体"/>
          <w:u w:val="single"/>
        </w:rPr>
        <w:t>发表学术论文</w:t>
      </w:r>
      <w:r>
        <w:rPr>
          <w:rFonts w:hint="eastAsia" w:ascii="宋体" w:hAnsi="宋体"/>
          <w:u w:val="single"/>
        </w:rPr>
        <w:t>，该期刊为一般核心以上，地址署名为华南农业大学；</w:t>
      </w:r>
    </w:p>
    <w:p>
      <w:pPr>
        <w:spacing w:line="360" w:lineRule="auto"/>
        <w:ind w:left="426"/>
        <w:rPr>
          <w:rFonts w:ascii="宋体" w:hAnsi="宋体"/>
          <w:b/>
          <w:szCs w:val="21"/>
          <w:u w:val="single"/>
        </w:rPr>
      </w:pPr>
      <w:r>
        <w:rPr>
          <w:rFonts w:ascii="宋体" w:hAnsi="宋体"/>
          <w:szCs w:val="21"/>
          <w:u w:val="single"/>
        </w:rPr>
        <w:t>2</w:t>
      </w:r>
      <w:r>
        <w:rPr>
          <w:rFonts w:hint="eastAsia" w:ascii="宋体" w:hAnsi="宋体"/>
          <w:szCs w:val="21"/>
          <w:u w:val="single"/>
        </w:rPr>
        <w:t>.有</w:t>
      </w:r>
      <w:r>
        <w:rPr>
          <w:rFonts w:ascii="宋体" w:hAnsi="宋体"/>
          <w:szCs w:val="21"/>
          <w:u w:val="single"/>
        </w:rPr>
        <w:t>发明专利</w:t>
      </w:r>
      <w:r>
        <w:rPr>
          <w:rFonts w:hint="eastAsia" w:ascii="宋体" w:hAnsi="宋体"/>
          <w:szCs w:val="21"/>
          <w:u w:val="single"/>
        </w:rPr>
        <w:t>或实用新型专利且已公示（导师（含第二导师）后面的学生第一作者，</w:t>
      </w:r>
      <w:r>
        <w:rPr>
          <w:rFonts w:hint="eastAsia" w:ascii="宋体" w:hAnsi="宋体"/>
          <w:u w:val="single"/>
        </w:rPr>
        <w:t>署名为华南农业大学</w:t>
      </w:r>
      <w:r>
        <w:rPr>
          <w:rFonts w:hint="eastAsia" w:ascii="宋体" w:hAnsi="宋体"/>
          <w:szCs w:val="21"/>
          <w:u w:val="single"/>
        </w:rPr>
        <w:t>）；</w:t>
      </w:r>
    </w:p>
    <w:p>
      <w:pPr>
        <w:spacing w:line="360" w:lineRule="auto"/>
        <w:ind w:left="426"/>
        <w:rPr>
          <w:rFonts w:ascii="宋体" w:hAnsi="宋体"/>
          <w:b/>
          <w:szCs w:val="21"/>
        </w:rPr>
      </w:pPr>
      <w:r>
        <w:rPr>
          <w:rFonts w:ascii="宋体" w:hAnsi="宋体"/>
          <w:szCs w:val="21"/>
          <w:u w:val="single"/>
        </w:rPr>
        <w:t>3</w:t>
      </w:r>
      <w:r>
        <w:rPr>
          <w:rFonts w:hint="eastAsia" w:ascii="宋体" w:hAnsi="宋体"/>
          <w:szCs w:val="21"/>
          <w:u w:val="single"/>
        </w:rPr>
        <w:t>.参加省级及以上学术竞赛并获得一等奖或者等同奖励或以上奖励</w:t>
      </w:r>
      <w:r>
        <w:rPr>
          <w:rFonts w:hint="eastAsia" w:ascii="宋体" w:hAnsi="宋体"/>
          <w:szCs w:val="21"/>
        </w:rPr>
        <w:t>。</w:t>
      </w:r>
    </w:p>
    <w:p>
      <w:pPr>
        <w:spacing w:before="156" w:beforeLines="50" w:after="156" w:afterLines="50" w:line="360" w:lineRule="auto"/>
        <w:ind w:firstLine="420"/>
        <w:rPr>
          <w:rFonts w:ascii="宋体" w:hAnsi="宋体"/>
          <w:b/>
          <w:sz w:val="24"/>
        </w:rPr>
      </w:pPr>
      <w:r>
        <w:rPr>
          <w:rFonts w:hint="eastAsia" w:ascii="宋体" w:hAnsi="宋体"/>
          <w:b/>
          <w:sz w:val="24"/>
        </w:rPr>
        <w:t>（二）</w:t>
      </w:r>
      <w:r>
        <w:rPr>
          <w:rFonts w:ascii="宋体" w:hAnsi="宋体"/>
          <w:b/>
          <w:sz w:val="24"/>
        </w:rPr>
        <w:t>研究生</w:t>
      </w:r>
      <w:r>
        <w:rPr>
          <w:rFonts w:hint="eastAsia" w:ascii="宋体" w:hAnsi="宋体"/>
          <w:b/>
          <w:sz w:val="24"/>
        </w:rPr>
        <w:t>校级优秀研究生</w:t>
      </w:r>
      <w:r>
        <w:rPr>
          <w:rFonts w:ascii="宋体" w:hAnsi="宋体"/>
          <w:b/>
          <w:sz w:val="24"/>
        </w:rPr>
        <w:t>奖学金二等奖</w:t>
      </w:r>
    </w:p>
    <w:p>
      <w:pPr>
        <w:spacing w:line="360" w:lineRule="auto"/>
        <w:ind w:firstLine="420"/>
        <w:rPr>
          <w:rFonts w:ascii="宋体" w:hAnsi="宋体"/>
          <w:bCs/>
          <w:szCs w:val="21"/>
        </w:rPr>
      </w:pPr>
      <w:r>
        <w:rPr>
          <w:rFonts w:hint="eastAsia" w:ascii="宋体" w:hAnsi="宋体"/>
          <w:bCs/>
          <w:szCs w:val="21"/>
        </w:rPr>
        <w:t>修完并通过培养计划内全部课程，综合测评在班级</w:t>
      </w:r>
      <w:r>
        <w:rPr>
          <w:rFonts w:hint="eastAsia" w:ascii="宋体" w:hAnsi="宋体"/>
          <w:b/>
          <w:szCs w:val="21"/>
        </w:rPr>
        <w:t>50%</w:t>
      </w:r>
      <w:r>
        <w:rPr>
          <w:rFonts w:hint="eastAsia" w:ascii="宋体" w:hAnsi="宋体"/>
          <w:bCs/>
          <w:szCs w:val="21"/>
        </w:rPr>
        <w:t xml:space="preserve">以内，可以申请。 </w:t>
      </w:r>
    </w:p>
    <w:p>
      <w:pPr>
        <w:spacing w:before="156" w:beforeLines="50" w:after="156" w:afterLines="50" w:line="360" w:lineRule="auto"/>
        <w:ind w:firstLine="420"/>
        <w:rPr>
          <w:rFonts w:ascii="宋体" w:hAnsi="宋体"/>
          <w:b/>
          <w:sz w:val="24"/>
        </w:rPr>
      </w:pPr>
      <w:r>
        <w:rPr>
          <w:rFonts w:hint="eastAsia" w:ascii="宋体" w:hAnsi="宋体"/>
          <w:b/>
          <w:sz w:val="24"/>
        </w:rPr>
        <w:t>（三）有下列情况之一者不能参评校级优秀研究生奖学金</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当学年度受到党、团组织或学校、学院通报批评以上（含通报批评）处理或处分者；</w:t>
      </w:r>
    </w:p>
    <w:p>
      <w:pPr>
        <w:spacing w:line="360" w:lineRule="auto"/>
        <w:ind w:firstLine="42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参评学年度课程考试有一门以上（含一门）不及格者，或有三门成绩偏低被跟踪培养者；</w:t>
      </w:r>
    </w:p>
    <w:p>
      <w:pPr>
        <w:spacing w:line="360" w:lineRule="auto"/>
        <w:ind w:firstLine="42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经学校批准休学复读不满半年者；</w:t>
      </w:r>
    </w:p>
    <w:p>
      <w:pPr>
        <w:spacing w:line="360" w:lineRule="auto"/>
        <w:ind w:firstLine="42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不积极参加学校和学院组织的政治、科技和文体活动者；</w:t>
      </w:r>
    </w:p>
    <w:p>
      <w:pPr>
        <w:spacing w:line="360" w:lineRule="auto"/>
        <w:ind w:firstLine="42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未按学校规定缴清学费、住宿费者；</w:t>
      </w:r>
    </w:p>
    <w:p>
      <w:pPr>
        <w:spacing w:line="360" w:lineRule="auto"/>
        <w:ind w:firstLine="42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未按学校规定报到、注册者；</w:t>
      </w:r>
    </w:p>
    <w:p>
      <w:pPr>
        <w:spacing w:line="360" w:lineRule="auto"/>
        <w:ind w:firstLine="420"/>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申请评优的学术成果有明显争议者；</w:t>
      </w:r>
    </w:p>
    <w:p>
      <w:pPr>
        <w:spacing w:line="360" w:lineRule="auto"/>
        <w:ind w:firstLine="420"/>
        <w:rPr>
          <w:rFonts w:ascii="宋体" w:hAnsi="宋体"/>
          <w:szCs w:val="21"/>
        </w:rPr>
      </w:pPr>
      <w:r>
        <w:rPr>
          <w:rFonts w:hint="eastAsia" w:ascii="宋体" w:hAnsi="宋体"/>
          <w:szCs w:val="21"/>
        </w:rPr>
        <w:t>8</w:t>
      </w:r>
      <w:r>
        <w:rPr>
          <w:rFonts w:ascii="宋体" w:hAnsi="宋体"/>
          <w:szCs w:val="21"/>
        </w:rPr>
        <w:t>.</w:t>
      </w:r>
      <w:r>
        <w:rPr>
          <w:rFonts w:hint="eastAsia" w:ascii="宋体" w:hAnsi="宋体"/>
          <w:szCs w:val="21"/>
        </w:rPr>
        <w:t>未经学院、导师批准请假擅自离校3天以上者。</w:t>
      </w:r>
    </w:p>
    <w:p>
      <w:pPr>
        <w:spacing w:line="360" w:lineRule="auto"/>
        <w:ind w:firstLine="420"/>
        <w:rPr>
          <w:rFonts w:ascii="宋体" w:hAnsi="宋体"/>
          <w:szCs w:val="21"/>
        </w:rPr>
      </w:pPr>
      <w:r>
        <w:rPr>
          <w:rFonts w:hint="eastAsia" w:ascii="宋体" w:hAnsi="宋体"/>
          <w:szCs w:val="21"/>
        </w:rPr>
        <w:t>9.导师有书面意见，认为不宜参评者；</w:t>
      </w:r>
    </w:p>
    <w:p>
      <w:pPr>
        <w:spacing w:line="360" w:lineRule="auto"/>
        <w:ind w:firstLine="420"/>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本人未提出申请者。</w:t>
      </w:r>
    </w:p>
    <w:p>
      <w:pPr>
        <w:spacing w:line="360" w:lineRule="auto"/>
        <w:jc w:val="right"/>
        <w:rPr>
          <w:rFonts w:eastAsia="黑体"/>
          <w:sz w:val="24"/>
        </w:rPr>
      </w:pPr>
    </w:p>
    <w:p>
      <w:pPr>
        <w:wordWrap w:val="0"/>
        <w:spacing w:line="360" w:lineRule="auto"/>
        <w:jc w:val="right"/>
        <w:rPr>
          <w:rFonts w:ascii="楷体" w:hAnsi="楷体" w:eastAsia="仿宋_GB2312"/>
          <w:sz w:val="24"/>
        </w:rPr>
      </w:pPr>
      <w:r>
        <w:rPr>
          <w:rFonts w:hint="eastAsia" w:ascii="楷体" w:hAnsi="楷体" w:eastAsia="仿宋_GB2312"/>
          <w:sz w:val="24"/>
        </w:rPr>
        <w:t>华南农业大学食品学院党委</w:t>
      </w:r>
    </w:p>
    <w:p>
      <w:pPr>
        <w:spacing w:line="360" w:lineRule="auto"/>
        <w:jc w:val="right"/>
        <w:rPr>
          <w:rFonts w:eastAsia="仿宋_GB2312"/>
          <w:sz w:val="24"/>
        </w:rPr>
      </w:pPr>
      <w:r>
        <w:rPr>
          <w:rFonts w:ascii="楷体" w:hAnsi="楷体" w:eastAsia="仿宋_GB2312"/>
          <w:sz w:val="24"/>
        </w:rPr>
        <w:t>2015年1</w:t>
      </w:r>
      <w:r>
        <w:rPr>
          <w:rFonts w:hint="eastAsia" w:ascii="楷体" w:hAnsi="楷体" w:eastAsia="仿宋_GB2312"/>
          <w:sz w:val="24"/>
        </w:rPr>
        <w:t>2</w:t>
      </w:r>
      <w:r>
        <w:rPr>
          <w:rFonts w:ascii="楷体" w:hAnsi="楷体" w:eastAsia="仿宋_GB2312"/>
          <w:sz w:val="24"/>
        </w:rPr>
        <w:t>月</w:t>
      </w:r>
      <w:r>
        <w:rPr>
          <w:rFonts w:hint="eastAsia" w:ascii="楷体" w:hAnsi="楷体" w:eastAsia="仿宋_GB2312"/>
          <w:sz w:val="24"/>
        </w:rPr>
        <w:t>30</w:t>
      </w:r>
      <w:r>
        <w:rPr>
          <w:rFonts w:ascii="楷体" w:hAnsi="楷体" w:eastAsia="仿宋_GB2312"/>
          <w:sz w:val="24"/>
        </w:rPr>
        <w:t>日</w:t>
      </w:r>
    </w:p>
    <w:p>
      <w:pPr/>
    </w:p>
    <w:p>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仿宋_GB2312">
    <w:panose1 w:val="02010609030101010101"/>
    <w:charset w:val="86"/>
    <w:family w:val="swiss"/>
    <w:pitch w:val="default"/>
    <w:sig w:usb0="00000001" w:usb1="080E0000" w:usb2="00000000" w:usb3="00000000" w:csb0="00040000" w:csb1="00000000"/>
  </w:font>
  <w:font w:name="楷体">
    <w:altName w:val="楷体_GB2312"/>
    <w:panose1 w:val="00000000000000000000"/>
    <w:charset w:val="86"/>
    <w:family w:val="swiss"/>
    <w:pitch w:val="default"/>
    <w:sig w:usb0="00000000" w:usb1="00000000" w:usb2="00000016" w:usb3="00000000" w:csb0="00040001" w:csb1="00000000"/>
  </w:font>
  <w:font w:name="Calibri Light">
    <w:altName w:val="Calibri"/>
    <w:panose1 w:val="00000000000000000000"/>
    <w:charset w:val="00"/>
    <w:family w:val="decorative"/>
    <w:pitch w:val="default"/>
    <w:sig w:usb0="00000000" w:usb1="00000000" w:usb2="00000000" w:usb3="00000000" w:csb0="0000019F"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5</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662"/>
    <w:rsid w:val="0000345D"/>
    <w:rsid w:val="00053D63"/>
    <w:rsid w:val="00053D8D"/>
    <w:rsid w:val="00142D0B"/>
    <w:rsid w:val="00171C36"/>
    <w:rsid w:val="00175363"/>
    <w:rsid w:val="001C612F"/>
    <w:rsid w:val="001F297C"/>
    <w:rsid w:val="00273E02"/>
    <w:rsid w:val="003F510E"/>
    <w:rsid w:val="004431D8"/>
    <w:rsid w:val="004A3F5A"/>
    <w:rsid w:val="005B7325"/>
    <w:rsid w:val="00615E6F"/>
    <w:rsid w:val="00646CBB"/>
    <w:rsid w:val="00655E4A"/>
    <w:rsid w:val="006660C4"/>
    <w:rsid w:val="006C4CC4"/>
    <w:rsid w:val="00702153"/>
    <w:rsid w:val="007506CA"/>
    <w:rsid w:val="007E2FA1"/>
    <w:rsid w:val="008452C8"/>
    <w:rsid w:val="008466C4"/>
    <w:rsid w:val="008C37A0"/>
    <w:rsid w:val="00902585"/>
    <w:rsid w:val="00A14C2D"/>
    <w:rsid w:val="00A34D04"/>
    <w:rsid w:val="00A55A7C"/>
    <w:rsid w:val="00A925D4"/>
    <w:rsid w:val="00A979B0"/>
    <w:rsid w:val="00B44056"/>
    <w:rsid w:val="00B509C0"/>
    <w:rsid w:val="00B82527"/>
    <w:rsid w:val="00BB1662"/>
    <w:rsid w:val="00BD6895"/>
    <w:rsid w:val="00CA5BE4"/>
    <w:rsid w:val="00D005C5"/>
    <w:rsid w:val="00DD5EC6"/>
    <w:rsid w:val="00DF73E1"/>
    <w:rsid w:val="00E3424F"/>
    <w:rsid w:val="00E75243"/>
    <w:rsid w:val="00EC6C0B"/>
    <w:rsid w:val="00F7124A"/>
    <w:rsid w:val="00FD6520"/>
    <w:rsid w:val="10C77C65"/>
    <w:rsid w:val="1CEB45B8"/>
    <w:rsid w:val="31BE7E62"/>
    <w:rsid w:val="38A33FCA"/>
    <w:rsid w:val="3A127D55"/>
    <w:rsid w:val="3AE17129"/>
    <w:rsid w:val="460728F4"/>
    <w:rsid w:val="55B91455"/>
    <w:rsid w:val="56C708E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Local%20Settings/Temp/ksohtml/wpsAC8.tmp.png" TargetMode="Externa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888</Words>
  <Characters>5068</Characters>
  <Lines>42</Lines>
  <Paragraphs>11</Paragraphs>
  <TotalTime>0</TotalTime>
  <ScaleCrop>false</ScaleCrop>
  <LinksUpToDate>false</LinksUpToDate>
  <CharactersWithSpaces>5945</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2015-12-01T02:29:00Z</dcterms:created>
  <dc:creator>林俊宏</dc:creator>
  <cp:lastModifiedBy>Administrator</cp:lastModifiedBy>
  <dcterms:modified xsi:type="dcterms:W3CDTF">2016-01-21T03:29:24Z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