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bookmarkStart w:id="0" w:name="_Toc94061438"/>
      <w:bookmarkEnd w:id="0"/>
      <w:bookmarkStart w:id="1" w:name="_Toc91692091"/>
      <w:bookmarkEnd w:id="1"/>
      <w:bookmarkStart w:id="2" w:name="_Toc91691838"/>
      <w:bookmarkEnd w:id="2"/>
      <w:bookmarkStart w:id="3" w:name="_Toc94023437"/>
      <w:bookmarkEnd w:id="3"/>
      <w:bookmarkStart w:id="4" w:name="_Toc91692095"/>
      <w:bookmarkEnd w:id="4"/>
      <w:bookmarkStart w:id="5" w:name="_Toc94023440"/>
      <w:bookmarkEnd w:id="5"/>
      <w:bookmarkStart w:id="6" w:name="_Toc91691702"/>
      <w:bookmarkEnd w:id="6"/>
      <w:bookmarkStart w:id="7" w:name="_Toc91691842"/>
      <w:bookmarkEnd w:id="7"/>
      <w:bookmarkStart w:id="8" w:name="_Toc91691706"/>
      <w:bookmarkEnd w:id="8"/>
      <w:bookmarkStart w:id="9" w:name="_Toc94062815"/>
      <w:bookmarkEnd w:id="9"/>
      <w:bookmarkStart w:id="10" w:name="_Toc94062709"/>
      <w:bookmarkEnd w:id="10"/>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ascii="Times New Roman" w:hAnsi="Times New Roman" w:eastAsia="方正小标宋简体" w:cs="Times New Roman"/>
          <w:sz w:val="44"/>
        </w:rPr>
        <w:t>关于举办</w:t>
      </w:r>
      <w:r>
        <w:rPr>
          <w:rFonts w:hint="eastAsia" w:ascii="方正小标宋简体" w:hAnsi="方正小标宋简体" w:eastAsia="方正小标宋简体" w:cs="方正小标宋简体"/>
          <w:sz w:val="44"/>
          <w:szCs w:val="44"/>
        </w:rPr>
        <w:t>第十五届广东大学生科技学术季活动</w:t>
      </w:r>
      <w:r>
        <w:rPr>
          <w:rFonts w:ascii="Times New Roman" w:hAnsi="Times New Roman" w:eastAsia="方正小标宋简体" w:cs="Times New Roman"/>
          <w:bCs/>
          <w:sz w:val="44"/>
          <w:szCs w:val="44"/>
        </w:rPr>
        <w:t>之</w:t>
      </w:r>
      <w:r>
        <w:rPr>
          <w:rFonts w:hint="eastAsia" w:ascii="方正小标宋简体" w:hAnsi="方正小标宋简体" w:eastAsia="方正小标宋简体" w:cs="方正小标宋简体"/>
          <w:sz w:val="44"/>
          <w:szCs w:val="44"/>
        </w:rPr>
        <w:t>广东大学生社会治理调研大赛</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的工作方案</w:t>
      </w:r>
    </w:p>
    <w:p>
      <w:pPr>
        <w:keepNext w:val="0"/>
        <w:keepLines w:val="0"/>
        <w:pageBreakBefore w:val="0"/>
        <w:widowControl/>
        <w:kinsoku/>
        <w:overflowPunct/>
        <w:topLinePunct w:val="0"/>
        <w:autoSpaceDE/>
        <w:autoSpaceDN/>
        <w:bidi w:val="0"/>
        <w:spacing w:line="560" w:lineRule="exact"/>
        <w:ind w:firstLine="643" w:firstLineChars="200"/>
        <w:outlineLvl w:val="0"/>
        <w:rPr>
          <w:rFonts w:hint="eastAsia" w:ascii="方正仿宋_GBK" w:hAnsi="方正仿宋_GBK" w:eastAsia="方正仿宋_GBK" w:cs="方正仿宋_GBK"/>
          <w:b/>
          <w:kern w:val="0"/>
          <w:sz w:val="32"/>
          <w:szCs w:val="32"/>
        </w:rPr>
      </w:pP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为深入贯彻落实习近平总书记关于广东“在营造共建共治共享社会治理格局上走在全国前列”的</w:t>
      </w:r>
      <w:r>
        <w:rPr>
          <w:rFonts w:hint="eastAsia" w:ascii="方正仿宋_GBK" w:hAnsi="方正仿宋_GBK" w:eastAsia="方正仿宋_GBK" w:cs="方正仿宋_GBK"/>
          <w:sz w:val="32"/>
          <w:szCs w:val="32"/>
          <w:lang w:val="en-US" w:eastAsia="zh-CN"/>
        </w:rPr>
        <w:t>重要</w:t>
      </w:r>
      <w:r>
        <w:rPr>
          <w:rFonts w:hint="eastAsia" w:ascii="方正仿宋_GBK" w:hAnsi="方正仿宋_GBK" w:eastAsia="方正仿宋_GBK" w:cs="方正仿宋_GBK"/>
          <w:sz w:val="32"/>
          <w:szCs w:val="32"/>
        </w:rPr>
        <w:t>指示精神和</w:t>
      </w:r>
      <w:r>
        <w:rPr>
          <w:rFonts w:hint="eastAsia" w:ascii="方正仿宋_GBK" w:hAnsi="方正仿宋_GBK" w:eastAsia="方正仿宋_GBK" w:cs="方正仿宋_GBK"/>
          <w:color w:val="auto"/>
          <w:sz w:val="32"/>
          <w:szCs w:val="32"/>
          <w:shd w:val="clear" w:color="auto" w:fill="auto"/>
        </w:rPr>
        <w:t>《中共中央关于坚持和完善中国特色社会主义制度、推进国家治理体系和治理能力现代化若干重大问题的决定》</w:t>
      </w:r>
      <w:r>
        <w:rPr>
          <w:rFonts w:hint="eastAsia" w:ascii="方正仿宋_GBK" w:hAnsi="方正仿宋_GBK" w:eastAsia="方正仿宋_GBK" w:cs="方正仿宋_GBK"/>
          <w:sz w:val="32"/>
          <w:szCs w:val="32"/>
          <w:lang w:val="en-US" w:eastAsia="zh-CN"/>
        </w:rPr>
        <w:t>精神</w:t>
      </w:r>
      <w:r>
        <w:rPr>
          <w:rFonts w:hint="eastAsia" w:ascii="方正仿宋_GBK" w:hAnsi="方正仿宋_GBK" w:eastAsia="方正仿宋_GBK" w:cs="方正仿宋_GBK"/>
          <w:sz w:val="32"/>
          <w:szCs w:val="32"/>
        </w:rPr>
        <w:t>，培养</w:t>
      </w:r>
      <w:r>
        <w:rPr>
          <w:rFonts w:hint="eastAsia" w:ascii="方正仿宋_GBK" w:hAnsi="方正仿宋_GBK" w:eastAsia="方正仿宋_GBK" w:cs="方正仿宋_GBK"/>
          <w:sz w:val="32"/>
          <w:szCs w:val="32"/>
          <w:lang w:val="en-US" w:eastAsia="zh-CN"/>
        </w:rPr>
        <w:t>大</w:t>
      </w:r>
      <w:r>
        <w:rPr>
          <w:rFonts w:hint="eastAsia" w:ascii="方正仿宋_GBK" w:hAnsi="方正仿宋_GBK" w:eastAsia="方正仿宋_GBK" w:cs="方正仿宋_GBK"/>
          <w:sz w:val="32"/>
          <w:szCs w:val="32"/>
        </w:rPr>
        <w:t>学生</w:t>
      </w:r>
      <w:r>
        <w:rPr>
          <w:rFonts w:hint="eastAsia" w:ascii="方正仿宋_GBK" w:hAnsi="方正仿宋_GBK" w:eastAsia="方正仿宋_GBK" w:cs="方正仿宋_GBK"/>
          <w:sz w:val="32"/>
          <w:szCs w:val="32"/>
          <w:lang w:val="en-US" w:eastAsia="zh-CN"/>
        </w:rPr>
        <w:t>关注</w:t>
      </w:r>
      <w:r>
        <w:rPr>
          <w:rFonts w:hint="eastAsia" w:ascii="方正仿宋_GBK" w:hAnsi="方正仿宋_GBK" w:eastAsia="方正仿宋_GBK" w:cs="方正仿宋_GBK"/>
          <w:sz w:val="32"/>
          <w:szCs w:val="32"/>
        </w:rPr>
        <w:t>社会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关注当下、主动担当作为的意识，提高大学生发现问题、分析问题、解决问题的综合能力，引导大学生在参与社会治理实践中</w:t>
      </w:r>
      <w:r>
        <w:rPr>
          <w:rFonts w:hint="eastAsia" w:ascii="方正仿宋_GBK" w:hAnsi="方正仿宋_GBK" w:eastAsia="方正仿宋_GBK" w:cs="方正仿宋_GBK"/>
          <w:sz w:val="32"/>
          <w:szCs w:val="32"/>
          <w:lang w:eastAsia="zh-CN"/>
        </w:rPr>
        <w:t>涵养家国情怀，</w:t>
      </w:r>
      <w:r>
        <w:rPr>
          <w:rFonts w:hint="eastAsia" w:ascii="方正仿宋_GBK" w:hAnsi="方正仿宋_GBK" w:eastAsia="方正仿宋_GBK" w:cs="方正仿宋_GBK"/>
          <w:sz w:val="32"/>
          <w:szCs w:val="32"/>
        </w:rPr>
        <w:t>现将广东大学生社会治理调研大赛有关事项安排如下</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一、大</w:t>
      </w:r>
      <w:r>
        <w:rPr>
          <w:rFonts w:hint="eastAsia" w:ascii="方正黑体_GBK" w:hAnsi="方正黑体_GBK" w:eastAsia="方正黑体_GBK" w:cs="方正黑体_GBK"/>
          <w:b w:val="0"/>
          <w:bCs w:val="0"/>
          <w:sz w:val="32"/>
          <w:szCs w:val="32"/>
        </w:rPr>
        <w:t>赛主题</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南粤学子奋进新征程  助力</w:t>
      </w:r>
      <w:r>
        <w:rPr>
          <w:rFonts w:hint="eastAsia" w:ascii="方正仿宋_GBK" w:hAnsi="方正仿宋_GBK" w:eastAsia="方正仿宋_GBK" w:cs="方正仿宋_GBK"/>
          <w:sz w:val="32"/>
          <w:szCs w:val="32"/>
        </w:rPr>
        <w:t>社会治理</w:t>
      </w:r>
      <w:r>
        <w:rPr>
          <w:rFonts w:hint="eastAsia" w:ascii="方正仿宋_GBK" w:hAnsi="方正仿宋_GBK" w:eastAsia="方正仿宋_GBK" w:cs="方正仿宋_GBK"/>
          <w:sz w:val="32"/>
          <w:szCs w:val="32"/>
          <w:lang w:val="en-US" w:eastAsia="zh-CN"/>
        </w:rPr>
        <w:t xml:space="preserve">现代化 </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二、大赛内容</w:t>
      </w:r>
    </w:p>
    <w:p>
      <w:pPr>
        <w:keepNext w:val="0"/>
        <w:keepLines w:val="0"/>
        <w:pageBreakBefore w:val="0"/>
        <w:numPr>
          <w:ilvl w:val="0"/>
          <w:numId w:val="0"/>
        </w:numPr>
        <w:kinsoku/>
        <w:overflowPunct/>
        <w:topLinePunct w:val="0"/>
        <w:autoSpaceDE/>
        <w:autoSpaceDN/>
        <w:bidi w:val="0"/>
        <w:spacing w:line="560" w:lineRule="exact"/>
        <w:ind w:left="0"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大</w:t>
      </w:r>
      <w:r>
        <w:rPr>
          <w:rFonts w:hint="eastAsia" w:ascii="方正仿宋_GBK" w:hAnsi="方正仿宋_GBK" w:eastAsia="方正仿宋_GBK" w:cs="方正仿宋_GBK"/>
          <w:color w:val="000000" w:themeColor="text1"/>
          <w:sz w:val="32"/>
          <w:szCs w:val="32"/>
          <w14:textFill>
            <w14:solidFill>
              <w14:schemeClr w14:val="tx1"/>
            </w14:solidFill>
          </w14:textFill>
        </w:rPr>
        <w:t>学生通过组队的形式参赛，</w:t>
      </w:r>
      <w:r>
        <w:rPr>
          <w:rFonts w:hint="eastAsia" w:ascii="方正仿宋_GBK" w:hAnsi="方正仿宋_GBK" w:eastAsia="方正仿宋_GBK" w:cs="方正仿宋_GBK"/>
          <w:color w:val="000000" w:themeColor="text1"/>
          <w:sz w:val="32"/>
          <w:szCs w:val="32"/>
          <w:shd w:val="clear" w:color="FFFFFF" w:fill="auto"/>
          <w14:textFill>
            <w14:solidFill>
              <w14:schemeClr w14:val="tx1"/>
            </w14:solidFill>
          </w14:textFill>
        </w:rPr>
        <w:t>各团队围绕</w:t>
      </w:r>
      <w:r>
        <w:rPr>
          <w:rFonts w:hint="eastAsia" w:ascii="方正仿宋_GBK" w:hAnsi="方正仿宋_GBK" w:eastAsia="方正仿宋_GBK" w:cs="方正仿宋_GBK"/>
          <w:color w:val="000000" w:themeColor="text1"/>
          <w:sz w:val="32"/>
          <w:szCs w:val="32"/>
          <w:shd w:val="clear" w:color="FFFFFF" w:fill="auto"/>
          <w:lang w:val="en-US" w:eastAsia="zh-CN"/>
          <w14:textFill>
            <w14:solidFill>
              <w14:schemeClr w14:val="tx1"/>
            </w14:solidFill>
          </w14:textFill>
        </w:rPr>
        <w:t>广东城乡社会治理社会化、法制化、智能化和专业化等内容，在党建引领、乡村振兴、社区治理、公共服务、公共安全、公共文化、社会保障等方面，</w:t>
      </w:r>
      <w:r>
        <w:rPr>
          <w:rFonts w:hint="eastAsia" w:ascii="方正仿宋_GBK" w:hAnsi="方正仿宋_GBK" w:eastAsia="方正仿宋_GBK" w:cs="方正仿宋_GBK"/>
          <w:color w:val="000000" w:themeColor="text1"/>
          <w:sz w:val="32"/>
          <w:szCs w:val="32"/>
          <w:shd w:val="clear" w:color="FFFFFF" w:fill="auto"/>
          <w14:textFill>
            <w14:solidFill>
              <w14:schemeClr w14:val="tx1"/>
            </w14:solidFill>
          </w14:textFill>
        </w:rPr>
        <w:t>深入开展调查研究，撰写调研报告。参赛作品要体现大学生对中国特色社会主义社会治理体系优越性的认同，体现大学生对中国特色社会主义社会治理体系创新实践的理解，体现大学生在广东营造共建共治共享的社会治理新格局中的青春智慧和青春力量</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三、组织机构</w:t>
      </w:r>
    </w:p>
    <w:p>
      <w:pPr>
        <w:keepNext w:val="0"/>
        <w:keepLines w:val="0"/>
        <w:pageBreakBefore w:val="0"/>
        <w:kinsoku/>
        <w:overflowPunct/>
        <w:topLinePunct w:val="0"/>
        <w:autoSpaceDE/>
        <w:autoSpaceDN/>
        <w:bidi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（一）主办单位：</w:t>
      </w:r>
      <w:r>
        <w:rPr>
          <w:rFonts w:hint="eastAsia" w:ascii="方正仿宋_GBK" w:hAnsi="方正仿宋_GBK" w:eastAsia="方正仿宋_GBK" w:cs="方正仿宋_GBK"/>
          <w:sz w:val="32"/>
          <w:szCs w:val="32"/>
        </w:rPr>
        <w:t>共青团广东省委员会、广东省教育厅、广东省科学技术厅、广东省科学技术协会、广东省学生联合会</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color w:val="FF0000"/>
          <w:sz w:val="32"/>
          <w:szCs w:val="32"/>
        </w:rPr>
      </w:pPr>
      <w:r>
        <w:rPr>
          <w:rFonts w:hint="eastAsia" w:ascii="方正楷体_GBK" w:hAnsi="方正楷体_GBK" w:eastAsia="方正楷体_GBK" w:cs="方正楷体_GBK"/>
          <w:b w:val="0"/>
          <w:bCs w:val="0"/>
          <w:sz w:val="32"/>
          <w:szCs w:val="32"/>
        </w:rPr>
        <w:t>（二）承办单位：</w:t>
      </w:r>
      <w:r>
        <w:rPr>
          <w:rFonts w:hint="eastAsia" w:ascii="方正仿宋_GBK" w:hAnsi="方正仿宋_GBK" w:eastAsia="方正仿宋_GBK" w:cs="方正仿宋_GBK"/>
          <w:color w:val="000000" w:themeColor="text1"/>
          <w:sz w:val="32"/>
          <w:szCs w:val="32"/>
          <w14:textFill>
            <w14:solidFill>
              <w14:schemeClr w14:val="tx1"/>
            </w14:solidFill>
          </w14:textFill>
        </w:rPr>
        <w:t>广东外语外贸大学</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sz w:val="32"/>
          <w:szCs w:val="32"/>
        </w:rPr>
        <w:t>（三）协办单位：</w:t>
      </w:r>
      <w:r>
        <w:rPr>
          <w:rFonts w:hint="eastAsia" w:ascii="方正仿宋_GBK" w:hAnsi="方正仿宋_GBK" w:eastAsia="方正仿宋_GBK" w:cs="方正仿宋_GBK"/>
          <w:color w:val="000000" w:themeColor="text1"/>
          <w:sz w:val="32"/>
          <w:szCs w:val="32"/>
          <w14:textFill>
            <w14:solidFill>
              <w14:schemeClr w14:val="tx1"/>
            </w14:solidFill>
          </w14:textFill>
        </w:rPr>
        <w:t>广东省社会管理研究会</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大赛设立组委会，由主办、承办、协办单位的有关负责人组成，负责</w:t>
      </w:r>
      <w:r>
        <w:rPr>
          <w:rFonts w:hint="eastAsia" w:ascii="方正仿宋_GBK" w:hAnsi="方正仿宋_GBK" w:eastAsia="方正仿宋_GBK" w:cs="方正仿宋_GBK"/>
          <w:sz w:val="32"/>
          <w:szCs w:val="32"/>
          <w:lang w:val="en-US" w:eastAsia="zh-CN"/>
        </w:rPr>
        <w:t>大</w:t>
      </w:r>
      <w:r>
        <w:rPr>
          <w:rFonts w:hint="eastAsia" w:ascii="方正仿宋_GBK" w:hAnsi="方正仿宋_GBK" w:eastAsia="方正仿宋_GBK" w:cs="方正仿宋_GBK"/>
          <w:sz w:val="32"/>
          <w:szCs w:val="32"/>
        </w:rPr>
        <w:t>赛组织领导工作。组委会下设办公室，设在广东外语外贸大学社会与公共管理学院，负责</w:t>
      </w:r>
      <w:r>
        <w:rPr>
          <w:rFonts w:hint="eastAsia" w:ascii="方正仿宋_GBK" w:hAnsi="方正仿宋_GBK" w:eastAsia="方正仿宋_GBK" w:cs="方正仿宋_GBK"/>
          <w:sz w:val="32"/>
          <w:szCs w:val="32"/>
          <w:lang w:val="en-US" w:eastAsia="zh-CN"/>
        </w:rPr>
        <w:t>大</w:t>
      </w:r>
      <w:r>
        <w:rPr>
          <w:rFonts w:hint="eastAsia" w:ascii="方正仿宋_GBK" w:hAnsi="方正仿宋_GBK" w:eastAsia="方正仿宋_GBK" w:cs="方正仿宋_GBK"/>
          <w:sz w:val="32"/>
          <w:szCs w:val="32"/>
        </w:rPr>
        <w:t>赛日常事务。大赛设立评委会，由组委会聘请各领域学术专家组成，负责参赛作品的评审工作。</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四、参赛对象</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大赛</w:t>
      </w:r>
      <w:r>
        <w:rPr>
          <w:rFonts w:hint="eastAsia" w:ascii="方正仿宋_GBK" w:hAnsi="方正仿宋_GBK" w:eastAsia="方正仿宋_GBK" w:cs="方正仿宋_GBK"/>
          <w:sz w:val="32"/>
          <w:szCs w:val="32"/>
        </w:rPr>
        <w:t>面向全省全日制在校大专生、本科生、研究生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欢迎港澳台籍在粤在校大学生参加。</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每支参赛队伍人数不超过8人，每人仅限参加一支队伍，</w:t>
      </w:r>
      <w:r>
        <w:rPr>
          <w:rFonts w:hint="eastAsia" w:ascii="方正仿宋_GBK" w:hAnsi="方正仿宋_GBK" w:eastAsia="方正仿宋_GBK" w:cs="方正仿宋_GBK"/>
          <w:color w:val="000000"/>
          <w:sz w:val="32"/>
          <w:szCs w:val="32"/>
          <w:lang w:val="en-US" w:eastAsia="zh-CN"/>
        </w:rPr>
        <w:t>不可跨校组队，</w:t>
      </w:r>
      <w:r>
        <w:rPr>
          <w:rFonts w:hint="eastAsia" w:ascii="方正仿宋_GBK" w:hAnsi="方正仿宋_GBK" w:eastAsia="方正仿宋_GBK" w:cs="方正仿宋_GBK"/>
          <w:color w:val="000000"/>
          <w:sz w:val="32"/>
          <w:szCs w:val="32"/>
        </w:rPr>
        <w:t>每支队伍可配1-2名指导老师</w:t>
      </w:r>
      <w:r>
        <w:rPr>
          <w:rFonts w:hint="eastAsia" w:ascii="方正仿宋_GBK" w:hAnsi="方正仿宋_GBK" w:eastAsia="方正仿宋_GBK" w:cs="方正仿宋_GBK"/>
          <w:color w:val="000000"/>
          <w:sz w:val="32"/>
          <w:szCs w:val="32"/>
          <w:lang w:eastAsia="zh-CN"/>
        </w:rPr>
        <w:t>，每位指导老师最多可指导</w:t>
      </w:r>
      <w:r>
        <w:rPr>
          <w:rFonts w:hint="eastAsia" w:ascii="方正仿宋_GBK" w:hAnsi="方正仿宋_GBK" w:eastAsia="方正仿宋_GBK" w:cs="方正仿宋_GBK"/>
          <w:color w:val="000000"/>
          <w:sz w:val="32"/>
          <w:szCs w:val="32"/>
          <w:lang w:val="en-US" w:eastAsia="zh-CN"/>
        </w:rPr>
        <w:t>1支队伍；</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指导教师</w:t>
      </w:r>
      <w:r>
        <w:rPr>
          <w:rFonts w:hint="eastAsia" w:ascii="方正仿宋_GBK" w:hAnsi="方正仿宋_GBK" w:eastAsia="方正仿宋_GBK" w:cs="方正仿宋_GBK"/>
          <w:color w:val="000000"/>
          <w:sz w:val="32"/>
          <w:szCs w:val="32"/>
          <w:lang w:val="en-US" w:eastAsia="zh-CN"/>
        </w:rPr>
        <w:t>应该</w:t>
      </w:r>
      <w:r>
        <w:rPr>
          <w:rFonts w:hint="eastAsia" w:ascii="方正仿宋_GBK" w:hAnsi="方正仿宋_GBK" w:eastAsia="方正仿宋_GBK" w:cs="方正仿宋_GBK"/>
          <w:color w:val="000000"/>
          <w:sz w:val="32"/>
          <w:szCs w:val="32"/>
        </w:rPr>
        <w:t>指导</w:t>
      </w:r>
      <w:r>
        <w:rPr>
          <w:rFonts w:hint="eastAsia" w:ascii="方正仿宋_GBK" w:hAnsi="方正仿宋_GBK" w:eastAsia="方正仿宋_GBK" w:cs="方正仿宋_GBK"/>
          <w:color w:val="000000"/>
          <w:sz w:val="32"/>
          <w:szCs w:val="32"/>
          <w:lang w:val="en-US" w:eastAsia="zh-CN"/>
        </w:rPr>
        <w:t>大</w:t>
      </w:r>
      <w:r>
        <w:rPr>
          <w:rFonts w:hint="eastAsia" w:ascii="方正仿宋_GBK" w:hAnsi="方正仿宋_GBK" w:eastAsia="方正仿宋_GBK" w:cs="方正仿宋_GBK"/>
          <w:color w:val="000000"/>
          <w:sz w:val="32"/>
          <w:szCs w:val="32"/>
        </w:rPr>
        <w:t>学生进行组队、知识技能训练，但调研报告须由参赛学生独立完成，严禁抄袭、剽窃</w:t>
      </w:r>
      <w:r>
        <w:rPr>
          <w:rFonts w:hint="eastAsia" w:ascii="方正仿宋_GBK" w:hAnsi="方正仿宋_GBK" w:eastAsia="方正仿宋_GBK" w:cs="方正仿宋_GBK"/>
          <w:color w:val="000000"/>
          <w:sz w:val="32"/>
          <w:szCs w:val="32"/>
          <w:lang w:eastAsia="zh-CN"/>
        </w:rPr>
        <w:t>；</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指导教师负责全程管理、指导参赛学生，参赛</w:t>
      </w:r>
      <w:r>
        <w:rPr>
          <w:rFonts w:hint="eastAsia" w:ascii="方正仿宋_GBK" w:hAnsi="方正仿宋_GBK" w:eastAsia="方正仿宋_GBK" w:cs="方正仿宋_GBK"/>
          <w:color w:val="000000"/>
          <w:sz w:val="32"/>
          <w:szCs w:val="32"/>
          <w:lang w:val="en-US" w:eastAsia="zh-CN"/>
        </w:rPr>
        <w:t>队伍</w:t>
      </w:r>
      <w:r>
        <w:rPr>
          <w:rFonts w:hint="eastAsia" w:ascii="方正仿宋_GBK" w:hAnsi="方正仿宋_GBK" w:eastAsia="方正仿宋_GBK" w:cs="方正仿宋_GBK"/>
          <w:color w:val="000000"/>
          <w:sz w:val="32"/>
          <w:szCs w:val="32"/>
        </w:rPr>
        <w:t>不得违反大赛规则，不</w:t>
      </w:r>
      <w:r>
        <w:rPr>
          <w:rFonts w:hint="eastAsia" w:ascii="方正仿宋_GBK" w:hAnsi="方正仿宋_GBK" w:eastAsia="方正仿宋_GBK" w:cs="方正仿宋_GBK"/>
          <w:color w:val="000000"/>
          <w:sz w:val="32"/>
          <w:szCs w:val="32"/>
          <w:lang w:val="en-US" w:eastAsia="zh-CN"/>
        </w:rPr>
        <w:t>得</w:t>
      </w:r>
      <w:r>
        <w:rPr>
          <w:rFonts w:hint="eastAsia" w:ascii="方正仿宋_GBK" w:hAnsi="方正仿宋_GBK" w:eastAsia="方正仿宋_GBK" w:cs="方正仿宋_GBK"/>
          <w:color w:val="000000"/>
          <w:sz w:val="32"/>
          <w:szCs w:val="32"/>
        </w:rPr>
        <w:t>对主办方、承办方</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协办方</w:t>
      </w:r>
      <w:r>
        <w:rPr>
          <w:rFonts w:hint="eastAsia" w:ascii="方正仿宋_GBK" w:hAnsi="方正仿宋_GBK" w:eastAsia="方正仿宋_GBK" w:cs="方正仿宋_GBK"/>
          <w:color w:val="000000"/>
          <w:sz w:val="32"/>
          <w:szCs w:val="32"/>
        </w:rPr>
        <w:t>等进行攻击，</w:t>
      </w:r>
      <w:r>
        <w:rPr>
          <w:rFonts w:hint="eastAsia" w:ascii="方正仿宋_GBK" w:hAnsi="方正仿宋_GBK" w:eastAsia="方正仿宋_GBK" w:cs="方正仿宋_GBK"/>
          <w:color w:val="000000"/>
          <w:sz w:val="32"/>
          <w:szCs w:val="32"/>
          <w:lang w:eastAsia="zh-CN"/>
        </w:rPr>
        <w:t>调研报告</w:t>
      </w:r>
      <w:r>
        <w:rPr>
          <w:rFonts w:hint="eastAsia" w:ascii="方正仿宋_GBK" w:hAnsi="方正仿宋_GBK" w:eastAsia="方正仿宋_GBK" w:cs="方正仿宋_GBK"/>
          <w:color w:val="000000"/>
          <w:sz w:val="32"/>
          <w:szCs w:val="32"/>
        </w:rPr>
        <w:t>不得与国家法律、法规、公序良俗相违背（如队名等）</w:t>
      </w:r>
      <w:r>
        <w:rPr>
          <w:rFonts w:hint="eastAsia" w:ascii="方正仿宋_GBK" w:hAnsi="方正仿宋_GBK" w:eastAsia="方正仿宋_GBK" w:cs="方正仿宋_GBK"/>
          <w:color w:val="000000"/>
          <w:sz w:val="32"/>
          <w:szCs w:val="32"/>
          <w:lang w:eastAsia="zh-CN"/>
        </w:rPr>
        <w:t>，且</w:t>
      </w:r>
      <w:r>
        <w:rPr>
          <w:rFonts w:hint="eastAsia" w:ascii="方正仿宋_GBK" w:hAnsi="方正仿宋_GBK" w:eastAsia="方正仿宋_GBK" w:cs="方正仿宋_GBK"/>
          <w:b w:val="0"/>
          <w:bCs w:val="0"/>
          <w:i w:val="0"/>
          <w:iCs w:val="0"/>
          <w:color w:val="000000" w:themeColor="text1"/>
          <w:kern w:val="2"/>
          <w:sz w:val="32"/>
          <w:szCs w:val="32"/>
          <w:highlight w:val="none"/>
          <w:vertAlign w:val="baseline"/>
          <w:lang w:val="en-US" w:eastAsia="zh-CN" w:bidi="ar-SA"/>
          <w14:textFill>
            <w14:solidFill>
              <w14:schemeClr w14:val="tx1"/>
            </w14:solidFill>
          </w14:textFill>
        </w:rPr>
        <w:t>不存在知识产权争议</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五、赛程安排</w:t>
      </w:r>
    </w:p>
    <w:p>
      <w:pPr>
        <w:keepNext w:val="0"/>
        <w:keepLines w:val="0"/>
        <w:pageBreakBefore w:val="0"/>
        <w:kinsoku/>
        <w:overflowPunct/>
        <w:topLinePunct w:val="0"/>
        <w:autoSpaceDE/>
        <w:autoSpaceDN/>
        <w:bidi w:val="0"/>
        <w:spacing w:line="560" w:lineRule="exact"/>
        <w:ind w:firstLine="640" w:firstLineChars="200"/>
        <w:jc w:val="left"/>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（一）大</w:t>
      </w:r>
      <w:r>
        <w:rPr>
          <w:rFonts w:hint="eastAsia" w:ascii="方正楷体_GBK" w:hAnsi="方正楷体_GBK" w:eastAsia="方正楷体_GBK" w:cs="方正楷体_GBK"/>
          <w:b w:val="0"/>
          <w:bCs w:val="0"/>
          <w:sz w:val="32"/>
          <w:szCs w:val="32"/>
        </w:rPr>
        <w:t>赛为</w:t>
      </w: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z w:val="32"/>
          <w:szCs w:val="32"/>
        </w:rPr>
        <w:t>个阶段：</w:t>
      </w:r>
    </w:p>
    <w:p>
      <w:pPr>
        <w:keepNext w:val="0"/>
        <w:keepLines w:val="0"/>
        <w:pageBreakBefore w:val="0"/>
        <w:kinsoku/>
        <w:overflowPunct/>
        <w:topLinePunct w:val="0"/>
        <w:autoSpaceDE/>
        <w:autoSpaceDN/>
        <w:bidi w:val="0"/>
        <w:spacing w:line="560" w:lineRule="exact"/>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第一阶段：</w:t>
      </w:r>
      <w:r>
        <w:rPr>
          <w:rFonts w:hint="eastAsia" w:ascii="方正仿宋_GBK" w:hAnsi="方正仿宋_GBK" w:eastAsia="方正仿宋_GBK" w:cs="方正仿宋_GBK"/>
          <w:b/>
          <w:bCs/>
          <w:sz w:val="32"/>
          <w:szCs w:val="32"/>
          <w:lang w:val="en-US" w:eastAsia="zh-CN"/>
        </w:rPr>
        <w:t>初赛（</w:t>
      </w:r>
      <w:r>
        <w:rPr>
          <w:rFonts w:hint="eastAsia" w:ascii="方正仿宋_GBK" w:hAnsi="方正仿宋_GBK" w:eastAsia="方正仿宋_GBK" w:cs="方正仿宋_GBK"/>
          <w:b/>
          <w:bCs/>
          <w:sz w:val="32"/>
          <w:szCs w:val="32"/>
        </w:rPr>
        <w:t>各高校动员遴选</w:t>
      </w:r>
      <w:r>
        <w:rPr>
          <w:rFonts w:hint="eastAsia" w:ascii="方正仿宋_GBK" w:hAnsi="方正仿宋_GBK" w:eastAsia="方正仿宋_GBK" w:cs="方正仿宋_GBK"/>
          <w:b/>
          <w:bCs/>
          <w:sz w:val="32"/>
          <w:szCs w:val="32"/>
          <w:lang w:val="en-US" w:eastAsia="zh-CN"/>
        </w:rPr>
        <w:t>）</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各高校组织</w:t>
      </w:r>
      <w:r>
        <w:rPr>
          <w:rFonts w:hint="eastAsia" w:ascii="方正仿宋_GBK" w:hAnsi="方正仿宋_GBK" w:eastAsia="方正仿宋_GBK" w:cs="方正仿宋_GBK"/>
          <w:sz w:val="32"/>
          <w:szCs w:val="32"/>
          <w:lang w:val="en-US" w:eastAsia="zh-CN"/>
        </w:rPr>
        <w:t>校赛并</w:t>
      </w:r>
      <w:r>
        <w:rPr>
          <w:rFonts w:hint="eastAsia" w:ascii="方正仿宋_GBK" w:hAnsi="方正仿宋_GBK" w:eastAsia="方正仿宋_GBK" w:cs="方正仿宋_GBK"/>
          <w:sz w:val="32"/>
          <w:szCs w:val="32"/>
        </w:rPr>
        <w:t>进行校内遴选，</w:t>
      </w:r>
      <w:r>
        <w:rPr>
          <w:rFonts w:hint="eastAsia" w:ascii="方正仿宋_GBK" w:hAnsi="方正仿宋_GBK" w:eastAsia="方正仿宋_GBK" w:cs="方正仿宋_GBK"/>
          <w:sz w:val="32"/>
          <w:szCs w:val="32"/>
          <w:lang w:val="en-US" w:eastAsia="zh-CN"/>
        </w:rPr>
        <w:t>于5月12日前提交调研报告、调研报告情况表(附件1）、报名汇总表（附件2），</w:t>
      </w:r>
      <w:r>
        <w:rPr>
          <w:rFonts w:hint="eastAsia" w:ascii="方正仿宋_GBK" w:hAnsi="方正仿宋_GBK" w:eastAsia="方正仿宋_GBK" w:cs="方正仿宋_GBK"/>
          <w:sz w:val="32"/>
          <w:szCs w:val="32"/>
        </w:rPr>
        <w:t>推选</w:t>
      </w:r>
      <w:r>
        <w:rPr>
          <w:rFonts w:hint="eastAsia" w:ascii="方正仿宋_GBK" w:hAnsi="方正仿宋_GBK" w:eastAsia="方正仿宋_GBK" w:cs="方正仿宋_GBK"/>
          <w:sz w:val="32"/>
          <w:szCs w:val="32"/>
          <w:lang w:val="en-US" w:eastAsia="zh-CN"/>
        </w:rPr>
        <w:t>不超过</w:t>
      </w: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支</w:t>
      </w:r>
      <w:r>
        <w:rPr>
          <w:rFonts w:hint="eastAsia" w:ascii="方正仿宋_GBK" w:hAnsi="方正仿宋_GBK" w:eastAsia="方正仿宋_GBK" w:cs="方正仿宋_GBK"/>
          <w:sz w:val="32"/>
          <w:szCs w:val="32"/>
        </w:rPr>
        <w:t>队伍进入省级</w:t>
      </w:r>
      <w:r>
        <w:rPr>
          <w:rFonts w:hint="eastAsia" w:ascii="方正仿宋_GBK" w:hAnsi="方正仿宋_GBK" w:eastAsia="方正仿宋_GBK" w:cs="方正仿宋_GBK"/>
          <w:sz w:val="32"/>
          <w:szCs w:val="32"/>
          <w:lang w:val="en-US" w:eastAsia="zh-CN"/>
        </w:rPr>
        <w:t>复赛</w:t>
      </w:r>
      <w:r>
        <w:rPr>
          <w:rFonts w:hint="eastAsia" w:ascii="方正仿宋_GBK" w:hAnsi="方正仿宋_GBK" w:eastAsia="方正仿宋_GBK" w:cs="方正仿宋_GBK"/>
          <w:sz w:val="32"/>
          <w:szCs w:val="32"/>
        </w:rPr>
        <w:t>。</w:t>
      </w:r>
    </w:p>
    <w:p>
      <w:pPr>
        <w:keepNext w:val="0"/>
        <w:keepLines w:val="0"/>
        <w:pageBreakBefore w:val="0"/>
        <w:kinsoku/>
        <w:overflowPunct/>
        <w:topLinePunct w:val="0"/>
        <w:autoSpaceDE/>
        <w:autoSpaceDN/>
        <w:bidi w:val="0"/>
        <w:spacing w:line="560" w:lineRule="exact"/>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eastAsia="zh-CN"/>
        </w:rPr>
        <w:t>二</w:t>
      </w:r>
      <w:r>
        <w:rPr>
          <w:rFonts w:hint="eastAsia" w:ascii="方正仿宋_GBK" w:hAnsi="方正仿宋_GBK" w:eastAsia="方正仿宋_GBK" w:cs="方正仿宋_GBK"/>
          <w:b/>
          <w:bCs/>
          <w:sz w:val="32"/>
          <w:szCs w:val="32"/>
        </w:rPr>
        <w:t>阶段：复赛</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color w:val="auto"/>
          <w:sz w:val="32"/>
          <w:szCs w:val="32"/>
        </w:rPr>
        <w:t>5月14日-22日</w:t>
      </w:r>
      <w:r>
        <w:rPr>
          <w:rFonts w:hint="eastAsia" w:ascii="方正仿宋_GBK" w:hAnsi="方正仿宋_GBK" w:eastAsia="方正仿宋_GBK" w:cs="方正仿宋_GBK"/>
          <w:b/>
          <w:bCs/>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大赛评委会对复赛作品进行评审，根据</w:t>
      </w:r>
      <w:r>
        <w:rPr>
          <w:rFonts w:hint="eastAsia" w:ascii="方正仿宋_GBK" w:hAnsi="方正仿宋_GBK" w:eastAsia="方正仿宋_GBK" w:cs="方正仿宋_GBK"/>
          <w:sz w:val="32"/>
          <w:szCs w:val="32"/>
          <w:lang w:val="en-US" w:eastAsia="zh-CN"/>
        </w:rPr>
        <w:t>得分</w:t>
      </w:r>
      <w:r>
        <w:rPr>
          <w:rFonts w:hint="eastAsia" w:ascii="方正仿宋_GBK" w:hAnsi="方正仿宋_GBK" w:eastAsia="方正仿宋_GBK" w:cs="方正仿宋_GBK"/>
          <w:sz w:val="32"/>
          <w:szCs w:val="32"/>
        </w:rPr>
        <w:t>高低确定进入决赛名单。</w:t>
      </w:r>
    </w:p>
    <w:p>
      <w:pPr>
        <w:keepNext w:val="0"/>
        <w:keepLines w:val="0"/>
        <w:pageBreakBefore w:val="0"/>
        <w:kinsoku/>
        <w:overflowPunct/>
        <w:topLinePunct w:val="0"/>
        <w:autoSpaceDE/>
        <w:autoSpaceDN/>
        <w:bidi w:val="0"/>
        <w:spacing w:line="560" w:lineRule="exact"/>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eastAsia="zh-CN"/>
        </w:rPr>
        <w:t>三</w:t>
      </w:r>
      <w:r>
        <w:rPr>
          <w:rFonts w:hint="eastAsia" w:ascii="方正仿宋_GBK" w:hAnsi="方正仿宋_GBK" w:eastAsia="方正仿宋_GBK" w:cs="方正仿宋_GBK"/>
          <w:b/>
          <w:bCs/>
          <w:sz w:val="32"/>
          <w:szCs w:val="32"/>
        </w:rPr>
        <w:t>阶段：决赛</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color w:val="auto"/>
          <w:sz w:val="32"/>
          <w:szCs w:val="32"/>
        </w:rPr>
        <w:t>5月29日</w:t>
      </w:r>
      <w:r>
        <w:rPr>
          <w:rFonts w:hint="eastAsia" w:ascii="方正仿宋_GBK" w:hAnsi="方正仿宋_GBK" w:eastAsia="方正仿宋_GBK" w:cs="方正仿宋_GBK"/>
          <w:b/>
          <w:bCs/>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决赛通过路演答辩的方式开展，综合书面材料得分和路演答辩得分得出最终总分。决赛具体安排另行通知，</w:t>
      </w:r>
      <w:r>
        <w:rPr>
          <w:rFonts w:hint="eastAsia" w:ascii="方正仿宋_GBK" w:hAnsi="方正仿宋_GBK" w:eastAsia="方正仿宋_GBK" w:cs="方正仿宋_GBK"/>
          <w:sz w:val="32"/>
          <w:szCs w:val="32"/>
        </w:rPr>
        <w:t>根据决赛作品最终</w:t>
      </w:r>
      <w:r>
        <w:rPr>
          <w:rFonts w:hint="eastAsia" w:ascii="方正仿宋_GBK" w:hAnsi="方正仿宋_GBK" w:eastAsia="方正仿宋_GBK" w:cs="方正仿宋_GBK"/>
          <w:sz w:val="32"/>
          <w:szCs w:val="32"/>
          <w:lang w:val="en-US" w:eastAsia="zh-CN"/>
        </w:rPr>
        <w:t>得分</w:t>
      </w:r>
      <w:r>
        <w:rPr>
          <w:rFonts w:hint="eastAsia" w:ascii="方正仿宋_GBK" w:hAnsi="方正仿宋_GBK" w:eastAsia="方正仿宋_GBK" w:cs="方正仿宋_GBK"/>
          <w:sz w:val="32"/>
          <w:szCs w:val="32"/>
        </w:rPr>
        <w:t>高低确定</w:t>
      </w:r>
      <w:r>
        <w:rPr>
          <w:rFonts w:hint="eastAsia" w:ascii="方正仿宋_GBK" w:hAnsi="方正仿宋_GBK" w:eastAsia="方正仿宋_GBK" w:cs="方正仿宋_GBK"/>
          <w:sz w:val="32"/>
          <w:szCs w:val="32"/>
          <w:lang w:val="en-US" w:eastAsia="zh-CN"/>
        </w:rPr>
        <w:t>各奖项</w:t>
      </w:r>
      <w:r>
        <w:rPr>
          <w:rFonts w:hint="eastAsia" w:ascii="方正仿宋_GBK" w:hAnsi="方正仿宋_GBK" w:eastAsia="方正仿宋_GBK" w:cs="方正仿宋_GBK"/>
          <w:sz w:val="32"/>
          <w:szCs w:val="32"/>
        </w:rPr>
        <w:t>。</w:t>
      </w:r>
    </w:p>
    <w:p>
      <w:pPr>
        <w:keepNext w:val="0"/>
        <w:keepLines w:val="0"/>
        <w:pageBreakBefore w:val="0"/>
        <w:kinsoku/>
        <w:overflowPunct/>
        <w:topLinePunct w:val="0"/>
        <w:autoSpaceDE/>
        <w:autoSpaceDN/>
        <w:bidi w:val="0"/>
        <w:spacing w:line="560" w:lineRule="exact"/>
        <w:ind w:firstLine="640" w:firstLineChars="200"/>
        <w:jc w:val="left"/>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（二）决赛地点</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广东外语外贸大学</w:t>
      </w:r>
      <w:r>
        <w:rPr>
          <w:rFonts w:hint="eastAsia" w:ascii="方正仿宋_GBK" w:hAnsi="方正仿宋_GBK" w:eastAsia="方正仿宋_GBK" w:cs="方正仿宋_GBK"/>
          <w:sz w:val="32"/>
          <w:szCs w:val="32"/>
          <w:lang w:val="en-US" w:eastAsia="zh-CN"/>
        </w:rPr>
        <w:t>大学城校区</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六、奖项设置</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本次比赛设特等、一</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、三等奖和优秀指导老师奖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具体奖项设置根据最终参赛队伍数量进行分配。凡获得二等奖及以上的参赛队伍，其指导老师获评“优秀指导老师”称号，其队员有机会获得相关科研机构提供的实践实习岗位。</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七、作品报送时间与方式</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报送</w:t>
      </w:r>
      <w:r>
        <w:rPr>
          <w:rFonts w:hint="eastAsia" w:ascii="方正仿宋_GBK" w:hAnsi="方正仿宋_GBK" w:eastAsia="方正仿宋_GBK" w:cs="方正仿宋_GBK"/>
          <w:sz w:val="32"/>
          <w:szCs w:val="32"/>
        </w:rPr>
        <w:t>时间：截止至2022年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12日。</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作品报送方式：以学校为单位汇总本校推选队伍的调研报告并填写调研报告</w:t>
      </w:r>
      <w:r>
        <w:rPr>
          <w:rFonts w:hint="eastAsia" w:ascii="方正仿宋_GBK" w:hAnsi="方正仿宋_GBK" w:eastAsia="方正仿宋_GBK" w:cs="方正仿宋_GBK"/>
          <w:sz w:val="32"/>
          <w:szCs w:val="32"/>
          <w:lang w:val="en-US" w:eastAsia="zh-CN"/>
        </w:rPr>
        <w:t>情况</w:t>
      </w:r>
      <w:r>
        <w:rPr>
          <w:rFonts w:hint="eastAsia" w:ascii="方正仿宋_GBK" w:hAnsi="方正仿宋_GBK" w:eastAsia="方正仿宋_GBK" w:cs="方正仿宋_GBK"/>
          <w:sz w:val="32"/>
          <w:szCs w:val="32"/>
          <w:lang w:eastAsia="zh-CN"/>
        </w:rPr>
        <w:t>表（附件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报名汇总表</w:t>
      </w: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），统一命名为“学校名称</w:t>
      </w:r>
      <w:r>
        <w:rPr>
          <w:rFonts w:hint="eastAsia" w:ascii="方正仿宋_GBK" w:hAnsi="方正仿宋_GBK" w:eastAsia="方正仿宋_GBK" w:cs="方正仿宋_GBK"/>
          <w:sz w:val="32"/>
          <w:szCs w:val="32"/>
          <w:lang w:val="en-US" w:eastAsia="zh-CN"/>
        </w:rPr>
        <w:t>+社调大赛作品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发送至</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gdsd@gdufs.edu.cn</w:t>
      </w:r>
      <w:r>
        <w:rPr>
          <w:rFonts w:hint="eastAsia" w:ascii="方正仿宋_GBK" w:hAnsi="方正仿宋_GBK" w:eastAsia="方正仿宋_GBK" w:cs="方正仿宋_GBK"/>
          <w:sz w:val="32"/>
          <w:szCs w:val="32"/>
          <w:lang w:eastAsia="zh-CN"/>
        </w:rPr>
        <w:t>。</w:t>
      </w:r>
    </w:p>
    <w:p>
      <w:pPr>
        <w:pageBreakBefore w:val="0"/>
        <w:kinsoku/>
        <w:overflowPunct/>
        <w:topLinePunct w:val="0"/>
        <w:autoSpaceDE/>
        <w:autoSpaceDN/>
        <w:bidi w:val="0"/>
        <w:spacing w:line="56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八、联系方式</w:t>
      </w:r>
    </w:p>
    <w:p>
      <w:pPr>
        <w:pageBreakBefore w:val="0"/>
        <w:kinsoku/>
        <w:overflowPunct/>
        <w:topLinePunct w:val="0"/>
        <w:autoSpaceDE/>
        <w:autoSpaceDN/>
        <w:bidi w:val="0"/>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（一）团省委</w:t>
      </w:r>
    </w:p>
    <w:p>
      <w:pPr>
        <w:pageBreakBefore w:val="0"/>
        <w:kinsoku/>
        <w:overflowPunct/>
        <w:topLinePunct w:val="0"/>
        <w:autoSpaceDE/>
        <w:autoSpaceDN/>
        <w:bidi w:val="0"/>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联 系 人：</w:t>
      </w:r>
      <w:r>
        <w:rPr>
          <w:rFonts w:hint="eastAsia" w:ascii="方正仿宋简体" w:hAnsi="方正仿宋简体" w:eastAsia="方正仿宋简体" w:cs="方正仿宋简体"/>
          <w:sz w:val="32"/>
          <w:szCs w:val="32"/>
          <w:lang w:val="en-US" w:eastAsia="zh-CN"/>
        </w:rPr>
        <w:t>刘佳鑫</w:t>
      </w:r>
    </w:p>
    <w:p>
      <w:pPr>
        <w:pageBreakBefore w:val="0"/>
        <w:kinsoku/>
        <w:overflowPunct/>
        <w:topLinePunct w:val="0"/>
        <w:autoSpaceDE/>
        <w:autoSpaceDN/>
        <w:bidi w:val="0"/>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联系电话：020-</w:t>
      </w:r>
      <w:r>
        <w:rPr>
          <w:rFonts w:hint="eastAsia" w:ascii="方正仿宋简体" w:hAnsi="方正仿宋简体" w:eastAsia="方正仿宋简体" w:cs="方正仿宋简体"/>
          <w:sz w:val="32"/>
          <w:szCs w:val="32"/>
          <w:lang w:val="en-US" w:eastAsia="zh-CN"/>
        </w:rPr>
        <w:t>87195612</w:t>
      </w:r>
    </w:p>
    <w:p>
      <w:pPr>
        <w:pStyle w:val="2"/>
        <w:pageBreakBefore w:val="0"/>
        <w:kinsoku/>
        <w:overflowPunct/>
        <w:topLinePunct w:val="0"/>
        <w:autoSpaceDE/>
        <w:autoSpaceDN/>
        <w:bidi w:val="0"/>
        <w:spacing w:line="560" w:lineRule="exact"/>
        <w:ind w:left="0" w:leftChars="0"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广东外语外贸大学</w:t>
      </w:r>
    </w:p>
    <w:p>
      <w:pPr>
        <w:pStyle w:val="2"/>
        <w:pageBreakBefore w:val="0"/>
        <w:kinsoku/>
        <w:overflowPunct/>
        <w:topLinePunct w:val="0"/>
        <w:autoSpaceDE/>
        <w:autoSpaceDN/>
        <w:bidi w:val="0"/>
        <w:spacing w:line="560" w:lineRule="exact"/>
        <w:ind w:left="0" w:leftChars="0"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联 系 人：白志华</w:t>
      </w:r>
    </w:p>
    <w:p>
      <w:pPr>
        <w:pStyle w:val="2"/>
        <w:pageBreakBefore w:val="0"/>
        <w:kinsoku/>
        <w:overflowPunct/>
        <w:topLinePunct w:val="0"/>
        <w:autoSpaceDE/>
        <w:autoSpaceDN/>
        <w:bidi w:val="0"/>
        <w:spacing w:line="560" w:lineRule="exact"/>
        <w:ind w:left="0" w:leftChars="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联系电话：020-39328660</w:t>
      </w:r>
    </w:p>
    <w:p>
      <w:pPr>
        <w:pStyle w:val="2"/>
        <w:pageBreakBefore w:val="0"/>
        <w:numPr>
          <w:ilvl w:val="0"/>
          <w:numId w:val="0"/>
        </w:numPr>
        <w:kinsoku/>
        <w:overflowPunct/>
        <w:topLinePunct w:val="0"/>
        <w:autoSpaceDE/>
        <w:autoSpaceDN/>
        <w:bidi w:val="0"/>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邮    箱：</w:t>
      </w:r>
      <w:r>
        <w:rPr>
          <w:rFonts w:hint="default" w:ascii="方正仿宋简体" w:hAnsi="方正仿宋简体" w:eastAsia="方正仿宋简体" w:cs="方正仿宋简体"/>
          <w:b w:val="0"/>
          <w:bCs w:val="0"/>
          <w:i w:val="0"/>
          <w:iCs w:val="0"/>
          <w:color w:val="auto"/>
          <w:kern w:val="2"/>
          <w:sz w:val="32"/>
          <w:szCs w:val="32"/>
          <w:highlight w:val="none"/>
          <w:vertAlign w:val="baseline"/>
          <w:lang w:val="en-US" w:eastAsia="zh-CN" w:bidi="ar-SA"/>
        </w:rPr>
        <w:t>gdsd@gdufs.edu.cn</w:t>
      </w:r>
    </w:p>
    <w:p>
      <w:pPr>
        <w:pageBreakBefore w:val="0"/>
        <w:kinsoku/>
        <w:overflowPunct/>
        <w:topLinePunct w:val="0"/>
        <w:autoSpaceDE/>
        <w:autoSpaceDN/>
        <w:bidi w:val="0"/>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    址：广州市番禺区外环东路178号广东外语外贸大学大学城校区教学楼D401b</w:t>
      </w:r>
    </w:p>
    <w:p>
      <w:pPr>
        <w:pStyle w:val="2"/>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baseline"/>
        <w:rPr>
          <w:rFonts w:hint="eastAsia"/>
        </w:rPr>
      </w:pPr>
      <w:r>
        <w:rPr>
          <w:rFonts w:hint="eastAsia" w:ascii="方正仿宋_GBK" w:hAnsi="方正仿宋_GBK" w:eastAsia="方正仿宋_GBK" w:cs="方正仿宋_GBK"/>
          <w:color w:val="000000"/>
          <w:kern w:val="0"/>
          <w:sz w:val="32"/>
          <w:szCs w:val="32"/>
        </w:rPr>
        <w:t>本次比赛工作QQ群号：</w:t>
      </w:r>
      <w:r>
        <w:rPr>
          <w:rFonts w:hint="eastAsia" w:ascii="方正仿宋简体" w:hAnsi="方正仿宋简体" w:eastAsia="方正仿宋简体" w:cs="方正仿宋简体"/>
          <w:sz w:val="32"/>
          <w:szCs w:val="32"/>
        </w:rPr>
        <w:t>797640446</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每支队伍仅限</w:t>
      </w:r>
      <w:r>
        <w:rPr>
          <w:rFonts w:hint="eastAsia" w:ascii="方正仿宋_GBK" w:hAnsi="方正仿宋_GBK" w:eastAsia="方正仿宋_GBK" w:cs="方正仿宋_GBK"/>
          <w:color w:val="000000"/>
          <w:kern w:val="0"/>
          <w:sz w:val="32"/>
          <w:szCs w:val="32"/>
        </w:rPr>
        <w:t>1名</w:t>
      </w:r>
      <w:r>
        <w:rPr>
          <w:rFonts w:hint="eastAsia" w:ascii="方正仿宋_GBK" w:hAnsi="方正仿宋_GBK" w:eastAsia="方正仿宋_GBK" w:cs="方正仿宋_GBK"/>
          <w:color w:val="000000"/>
          <w:kern w:val="0"/>
          <w:sz w:val="32"/>
          <w:szCs w:val="32"/>
          <w:lang w:eastAsia="zh-CN"/>
        </w:rPr>
        <w:t>负责人加入</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kinsoku/>
        <w:overflowPunct/>
        <w:topLinePunct w:val="0"/>
        <w:autoSpaceDE/>
        <w:autoSpaceDN/>
        <w:bidi w:val="0"/>
        <w:spacing w:line="560" w:lineRule="exact"/>
        <w:jc w:val="both"/>
        <w:rPr>
          <w:rFonts w:hint="eastAsia"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广东大学生社会治理调研大赛</w:t>
      </w:r>
      <w:r>
        <w:rPr>
          <w:rFonts w:hint="eastAsia" w:ascii="方正仿宋_GBK" w:hAnsi="方正仿宋_GBK" w:eastAsia="方正仿宋_GBK" w:cs="方正仿宋_GBK"/>
          <w:sz w:val="32"/>
          <w:szCs w:val="32"/>
          <w:lang w:val="en-US" w:eastAsia="zh-CN"/>
        </w:rPr>
        <w:t>调研报告情况表</w:t>
      </w:r>
    </w:p>
    <w:p>
      <w:pPr>
        <w:keepNext w:val="0"/>
        <w:keepLines w:val="0"/>
        <w:pageBreakBefore w:val="0"/>
        <w:kinsoku/>
        <w:overflowPunct/>
        <w:topLinePunct w:val="0"/>
        <w:autoSpaceDE/>
        <w:autoSpaceDN/>
        <w:bidi w:val="0"/>
        <w:spacing w:line="560" w:lineRule="exact"/>
        <w:ind w:firstLine="1600" w:firstLineChars="5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广东大学生社会治理调研大赛报名汇总表</w:t>
      </w:r>
    </w:p>
    <w:p>
      <w:pPr>
        <w:keepNext w:val="0"/>
        <w:keepLines w:val="0"/>
        <w:pageBreakBefore w:val="0"/>
        <w:kinsoku/>
        <w:overflowPunct/>
        <w:topLinePunct w:val="0"/>
        <w:autoSpaceDE/>
        <w:autoSpaceDN/>
        <w:bidi w:val="0"/>
        <w:spacing w:line="560" w:lineRule="exact"/>
        <w:ind w:firstLine="1600" w:firstLineChars="5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调研报告</w:t>
      </w:r>
      <w:r>
        <w:rPr>
          <w:rFonts w:hint="eastAsia" w:ascii="方正仿宋_GBK" w:hAnsi="方正仿宋_GBK" w:eastAsia="方正仿宋_GBK" w:cs="方正仿宋_GBK"/>
          <w:sz w:val="32"/>
          <w:szCs w:val="32"/>
          <w:lang w:val="en-US" w:eastAsia="zh-CN"/>
        </w:rPr>
        <w:t>格式要求</w:t>
      </w:r>
    </w:p>
    <w:p>
      <w:pPr>
        <w:keepNext w:val="0"/>
        <w:keepLines w:val="0"/>
        <w:pageBreakBefore w:val="0"/>
        <w:kinsoku/>
        <w:wordWrap w:val="0"/>
        <w:overflowPunct/>
        <w:topLinePunct w:val="0"/>
        <w:autoSpaceDE/>
        <w:autoSpaceDN/>
        <w:bidi w:val="0"/>
        <w:spacing w:line="560" w:lineRule="exact"/>
        <w:ind w:firstLine="640" w:firstLineChars="200"/>
        <w:jc w:val="right"/>
        <w:rPr>
          <w:rFonts w:hint="eastAsia" w:ascii="方正仿宋_GBK" w:hAnsi="方正仿宋_GBK" w:eastAsia="方正仿宋_GBK" w:cs="方正仿宋_GBK"/>
          <w:sz w:val="32"/>
          <w:szCs w:val="32"/>
          <w:lang w:val="en-US" w:eastAsia="zh-CN"/>
        </w:rPr>
      </w:pPr>
    </w:p>
    <w:p>
      <w:pPr>
        <w:pStyle w:val="2"/>
        <w:wordWrap/>
        <w:rPr>
          <w:rFonts w:hint="eastAsia"/>
          <w:lang w:val="en-US" w:eastAsia="zh-CN"/>
        </w:rPr>
      </w:pPr>
    </w:p>
    <w:p>
      <w:pPr>
        <w:keepNext w:val="0"/>
        <w:keepLines w:val="0"/>
        <w:pageBreakBefore w:val="0"/>
        <w:kinsoku/>
        <w:overflowPunct/>
        <w:topLinePunct w:val="0"/>
        <w:autoSpaceDE/>
        <w:autoSpaceDN/>
        <w:bidi w:val="0"/>
        <w:spacing w:line="560" w:lineRule="exact"/>
        <w:ind w:firstLine="640" w:firstLineChars="2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第十五届广东大学生科技学术季活动</w:t>
      </w:r>
    </w:p>
    <w:p>
      <w:pPr>
        <w:keepNext w:val="0"/>
        <w:keepLines w:val="0"/>
        <w:pageBreakBefore w:val="0"/>
        <w:kinsoku/>
        <w:overflowPunct/>
        <w:topLinePunct w:val="0"/>
        <w:autoSpaceDE/>
        <w:autoSpaceDN/>
        <w:bidi w:val="0"/>
        <w:spacing w:line="560" w:lineRule="exact"/>
        <w:ind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组委会办公室</w:t>
      </w:r>
    </w:p>
    <w:p>
      <w:pPr>
        <w:keepNext w:val="0"/>
        <w:keepLines w:val="0"/>
        <w:pageBreakBefore w:val="0"/>
        <w:kinsoku/>
        <w:overflowPunct/>
        <w:topLinePunct w:val="0"/>
        <w:autoSpaceDE/>
        <w:autoSpaceDN/>
        <w:bidi w:val="0"/>
        <w:spacing w:line="560" w:lineRule="exact"/>
        <w:ind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（省学联秘书处代章）</w:t>
      </w:r>
    </w:p>
    <w:p>
      <w:pPr>
        <w:keepNext w:val="0"/>
        <w:keepLines w:val="0"/>
        <w:pageBreakBefore w:val="0"/>
        <w:kinsoku/>
        <w:wordWrap w:val="0"/>
        <w:overflowPunct/>
        <w:topLinePunct w:val="0"/>
        <w:autoSpaceDE/>
        <w:autoSpaceDN/>
        <w:bidi w:val="0"/>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2022年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rPr>
        <w:t>日</w:t>
      </w:r>
    </w:p>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br w:type="page"/>
      </w:r>
    </w:p>
    <w:p>
      <w:pPr>
        <w:keepNext w:val="0"/>
        <w:keepLines w:val="0"/>
        <w:pageBreakBefore w:val="0"/>
        <w:kinsoku/>
        <w:overflowPunct/>
        <w:topLinePunct w:val="0"/>
        <w:autoSpaceDE/>
        <w:autoSpaceDN/>
        <w:bidi w:val="0"/>
        <w:adjustRightInd w:val="0"/>
        <w:snapToGrid w:val="0"/>
        <w:spacing w:line="560" w:lineRule="exact"/>
        <w:jc w:val="lef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广东大学生社会治理调研大赛</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调研报告情况表</w:t>
      </w:r>
    </w:p>
    <w:tbl>
      <w:tblPr>
        <w:tblStyle w:val="11"/>
        <w:tblpPr w:leftFromText="180" w:rightFromText="180" w:vertAnchor="text" w:horzAnchor="page" w:tblpX="1724" w:tblpY="371"/>
        <w:tblOverlap w:val="never"/>
        <w:tblW w:w="5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55"/>
        <w:gridCol w:w="6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1315" w:type="pct"/>
            <w:tcBorders>
              <w:top w:val="single" w:color="000000" w:sz="2"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lang w:val="en-US"/>
              </w:rPr>
            </w:pPr>
            <w:r>
              <w:rPr>
                <w:rFonts w:hint="eastAsia" w:ascii="方正仿宋_GBK" w:hAnsi="方正仿宋_GBK" w:eastAsia="方正仿宋_GBK" w:cs="方正仿宋_GBK"/>
                <w:spacing w:val="38"/>
                <w:sz w:val="28"/>
                <w:szCs w:val="24"/>
                <w:highlight w:val="none"/>
                <w:lang w:val="en-US" w:eastAsia="zh-CN"/>
              </w:rPr>
              <w:t>学校</w:t>
            </w:r>
          </w:p>
        </w:tc>
        <w:tc>
          <w:tcPr>
            <w:tcW w:w="3684" w:type="pct"/>
            <w:tcBorders>
              <w:top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1315" w:type="pct"/>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作品全称</w:t>
            </w:r>
          </w:p>
        </w:tc>
        <w:tc>
          <w:tcPr>
            <w:tcW w:w="3684" w:type="pct"/>
            <w:tcBorders>
              <w:top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lang w:val="en-US" w:eastAsia="zh-CN"/>
              </w:rPr>
            </w:pPr>
            <w:r>
              <w:rPr>
                <w:rFonts w:hint="eastAsia" w:ascii="方正仿宋_GBK" w:hAnsi="方正仿宋_GBK" w:eastAsia="方正仿宋_GBK" w:cs="方正仿宋_GBK"/>
                <w:spacing w:val="38"/>
                <w:sz w:val="28"/>
                <w:szCs w:val="24"/>
                <w:highlight w:val="none"/>
                <w:lang w:val="en-US" w:eastAsia="zh-CN"/>
              </w:rPr>
              <w:t>队伍名称</w:t>
            </w:r>
          </w:p>
        </w:tc>
        <w:tc>
          <w:tcPr>
            <w:tcW w:w="3684" w:type="pct"/>
            <w:tcBorders>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作品撰写的目的和基本思路</w:t>
            </w:r>
          </w:p>
        </w:tc>
        <w:tc>
          <w:tcPr>
            <w:tcW w:w="3684" w:type="pct"/>
            <w:tcBorders>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作品的科学性、先进性及独特之处</w:t>
            </w:r>
          </w:p>
        </w:tc>
        <w:tc>
          <w:tcPr>
            <w:tcW w:w="3684" w:type="pct"/>
            <w:tcBorders>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作品的实际应用价值和现实指导意义</w:t>
            </w:r>
          </w:p>
        </w:tc>
        <w:tc>
          <w:tcPr>
            <w:tcW w:w="3684" w:type="pct"/>
            <w:tcBorders>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8"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作品摘要</w:t>
            </w:r>
          </w:p>
        </w:tc>
        <w:tc>
          <w:tcPr>
            <w:tcW w:w="3684" w:type="pct"/>
            <w:tcBorders>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作品在何时、何地、何种机构举行的会议或报刊上发表</w:t>
            </w: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登载、所获奖励及评定结果</w:t>
            </w:r>
          </w:p>
        </w:tc>
        <w:tc>
          <w:tcPr>
            <w:tcW w:w="3684" w:type="pct"/>
            <w:tcBorders>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4"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请提供对于理解、审查、评价所申报作品，具有参考价值的现有对比数据及作品中资料来源的检索目录</w:t>
            </w:r>
          </w:p>
        </w:tc>
        <w:tc>
          <w:tcPr>
            <w:tcW w:w="3684" w:type="pct"/>
            <w:tcBorders>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调查方式</w:t>
            </w:r>
          </w:p>
        </w:tc>
        <w:tc>
          <w:tcPr>
            <w:tcW w:w="3684" w:type="pct"/>
            <w:tcBorders>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lang w:eastAsia="zh-CN"/>
              </w:rPr>
              <w:t>□走访</w:t>
            </w:r>
            <w:r>
              <w:rPr>
                <w:rFonts w:hint="eastAsia" w:ascii="方正仿宋_GBK" w:hAnsi="方正仿宋_GBK" w:eastAsia="方正仿宋_GBK" w:cs="方正仿宋_GBK"/>
                <w:spacing w:val="38"/>
                <w:sz w:val="28"/>
                <w:szCs w:val="24"/>
                <w:highlight w:val="none"/>
              </w:rPr>
              <w:t xml:space="preserve"> </w:t>
            </w:r>
            <w:r>
              <w:rPr>
                <w:rFonts w:hint="eastAsia" w:ascii="方正仿宋_GBK" w:hAnsi="方正仿宋_GBK" w:eastAsia="方正仿宋_GBK" w:cs="方正仿宋_GBK"/>
                <w:spacing w:val="38"/>
                <w:sz w:val="28"/>
                <w:szCs w:val="24"/>
                <w:highlight w:val="none"/>
                <w:lang w:eastAsia="zh-CN"/>
              </w:rPr>
              <w:t>□</w:t>
            </w:r>
            <w:r>
              <w:rPr>
                <w:rFonts w:hint="eastAsia" w:ascii="方正仿宋_GBK" w:hAnsi="方正仿宋_GBK" w:eastAsia="方正仿宋_GBK" w:cs="方正仿宋_GBK"/>
                <w:spacing w:val="38"/>
                <w:sz w:val="28"/>
                <w:szCs w:val="24"/>
                <w:highlight w:val="none"/>
              </w:rPr>
              <w:t xml:space="preserve">问卷 □现场采访 </w:t>
            </w:r>
            <w:r>
              <w:rPr>
                <w:rFonts w:hint="eastAsia" w:ascii="方正仿宋_GBK" w:hAnsi="方正仿宋_GBK" w:eastAsia="方正仿宋_GBK" w:cs="方正仿宋_GBK"/>
                <w:spacing w:val="38"/>
                <w:sz w:val="28"/>
                <w:szCs w:val="24"/>
                <w:highlight w:val="none"/>
                <w:lang w:val="en-US" w:eastAsia="zh-CN"/>
              </w:rPr>
              <w:t xml:space="preserve"> </w:t>
            </w:r>
            <w:r>
              <w:rPr>
                <w:rFonts w:hint="eastAsia" w:ascii="方正仿宋_GBK" w:hAnsi="方正仿宋_GBK" w:eastAsia="方正仿宋_GBK" w:cs="方正仿宋_GBK"/>
                <w:spacing w:val="38"/>
                <w:sz w:val="28"/>
                <w:szCs w:val="24"/>
                <w:highlight w:val="none"/>
              </w:rPr>
              <w:t>□人员介绍</w:t>
            </w:r>
          </w:p>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 xml:space="preserve">□个别交谈  □亲临实践  </w:t>
            </w:r>
            <w:r>
              <w:rPr>
                <w:rFonts w:hint="eastAsia" w:ascii="方正仿宋_GBK" w:hAnsi="方正仿宋_GBK" w:eastAsia="方正仿宋_GBK" w:cs="方正仿宋_GBK"/>
                <w:spacing w:val="38"/>
                <w:sz w:val="28"/>
                <w:szCs w:val="24"/>
                <w:highlight w:val="none"/>
                <w:lang w:val="en-US" w:eastAsia="zh-CN"/>
              </w:rPr>
              <w:t xml:space="preserve"> </w:t>
            </w:r>
            <w:r>
              <w:rPr>
                <w:rFonts w:hint="eastAsia" w:ascii="方正仿宋_GBK" w:hAnsi="方正仿宋_GBK" w:eastAsia="方正仿宋_GBK" w:cs="方正仿宋_GBK"/>
                <w:spacing w:val="38"/>
                <w:sz w:val="28"/>
                <w:szCs w:val="24"/>
                <w:highlight w:val="none"/>
              </w:rPr>
              <w:t>□会议</w:t>
            </w:r>
          </w:p>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□图片、照片 □书报刊物</w:t>
            </w:r>
            <w:r>
              <w:rPr>
                <w:rFonts w:hint="eastAsia" w:ascii="方正仿宋_GBK" w:hAnsi="方正仿宋_GBK" w:eastAsia="方正仿宋_GBK" w:cs="方正仿宋_GBK"/>
                <w:spacing w:val="38"/>
                <w:sz w:val="28"/>
                <w:szCs w:val="24"/>
                <w:highlight w:val="none"/>
                <w:lang w:val="en-US" w:eastAsia="zh-CN"/>
              </w:rPr>
              <w:t xml:space="preserve"> </w:t>
            </w:r>
            <w:r>
              <w:rPr>
                <w:rFonts w:hint="eastAsia" w:ascii="方正仿宋_GBK" w:hAnsi="方正仿宋_GBK" w:eastAsia="方正仿宋_GBK" w:cs="方正仿宋_GBK"/>
                <w:spacing w:val="38"/>
                <w:sz w:val="28"/>
                <w:szCs w:val="24"/>
                <w:highlight w:val="none"/>
              </w:rPr>
              <w:t xml:space="preserve"> □统计报表</w:t>
            </w:r>
          </w:p>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 xml:space="preserve">□影视资料 □文件 □集体组织 </w:t>
            </w:r>
            <w:r>
              <w:rPr>
                <w:rFonts w:hint="eastAsia" w:ascii="方正仿宋_GBK" w:hAnsi="方正仿宋_GBK" w:eastAsia="方正仿宋_GBK" w:cs="方正仿宋_GBK"/>
                <w:spacing w:val="38"/>
                <w:sz w:val="28"/>
                <w:szCs w:val="24"/>
                <w:highlight w:val="none"/>
                <w:lang w:val="en-US" w:eastAsia="zh-CN"/>
              </w:rPr>
              <w:t xml:space="preserve">   </w:t>
            </w:r>
            <w:r>
              <w:rPr>
                <w:rFonts w:hint="eastAsia" w:ascii="方正仿宋_GBK" w:hAnsi="方正仿宋_GBK" w:eastAsia="方正仿宋_GBK" w:cs="方正仿宋_GBK"/>
                <w:spacing w:val="38"/>
                <w:sz w:val="28"/>
                <w:szCs w:val="24"/>
                <w:highlight w:val="none"/>
              </w:rPr>
              <w:t>□自发</w:t>
            </w:r>
            <w:r>
              <w:rPr>
                <w:rFonts w:hint="eastAsia" w:ascii="方正仿宋_GBK" w:hAnsi="方正仿宋_GBK" w:eastAsia="方正仿宋_GBK" w:cs="方正仿宋_GBK"/>
                <w:spacing w:val="38"/>
                <w:sz w:val="28"/>
                <w:szCs w:val="24"/>
                <w:highlight w:val="none"/>
                <w:lang w:val="en-US" w:eastAsia="zh-CN"/>
              </w:rPr>
              <w:t xml:space="preserve">  </w:t>
            </w:r>
            <w:r>
              <w:rPr>
                <w:rFonts w:hint="eastAsia" w:ascii="方正仿宋_GBK" w:hAnsi="方正仿宋_GBK" w:eastAsia="方正仿宋_GBK" w:cs="方正仿宋_GBK"/>
                <w:spacing w:val="38"/>
                <w:sz w:val="28"/>
                <w:szCs w:val="24"/>
                <w:highlight w:val="none"/>
                <w:lang w:eastAsia="zh-CN"/>
              </w:rPr>
              <w:t>□</w:t>
            </w:r>
            <w:r>
              <w:rPr>
                <w:rFonts w:hint="eastAsia" w:ascii="方正仿宋_GBK" w:hAnsi="方正仿宋_GBK" w:eastAsia="方正仿宋_GBK" w:cs="方正仿宋_GBK"/>
                <w:spacing w:val="38"/>
                <w:sz w:val="28"/>
                <w:szCs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trPr>
        <w:tc>
          <w:tcPr>
            <w:tcW w:w="1315" w:type="pct"/>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主要调查单位及调查数量</w:t>
            </w:r>
          </w:p>
        </w:tc>
        <w:tc>
          <w:tcPr>
            <w:tcW w:w="3684" w:type="pct"/>
            <w:tcBorders>
              <w:bottom w:val="single" w:color="000000" w:sz="2" w:space="0"/>
              <w:right w:val="single" w:color="000000" w:sz="2" w:space="0"/>
            </w:tcBorders>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方正仿宋_GBK" w:hAnsi="方正仿宋_GBK" w:eastAsia="方正仿宋_GBK" w:cs="方正仿宋_GBK"/>
                <w:spacing w:val="38"/>
                <w:sz w:val="28"/>
                <w:szCs w:val="24"/>
                <w:highlight w:val="none"/>
              </w:rPr>
            </w:pPr>
            <w:r>
              <w:rPr>
                <w:rFonts w:hint="eastAsia" w:ascii="方正仿宋_GBK" w:hAnsi="方正仿宋_GBK" w:eastAsia="方正仿宋_GBK" w:cs="方正仿宋_GBK"/>
                <w:spacing w:val="38"/>
                <w:sz w:val="28"/>
                <w:szCs w:val="24"/>
                <w:highlight w:val="none"/>
              </w:rPr>
              <w:t>省（市）县（区）乡（镇）村（街）单位邮编姓名电话</w:t>
            </w:r>
            <w:r>
              <w:rPr>
                <w:rFonts w:hint="eastAsia" w:ascii="方正仿宋_GBK" w:hAnsi="方正仿宋_GBK" w:eastAsia="方正仿宋_GBK" w:cs="方正仿宋_GBK"/>
                <w:spacing w:val="38"/>
                <w:sz w:val="28"/>
                <w:szCs w:val="24"/>
                <w:highlight w:val="none"/>
                <w:lang w:eastAsia="zh-CN"/>
              </w:rPr>
              <w:t>、</w:t>
            </w:r>
            <w:r>
              <w:rPr>
                <w:rFonts w:hint="eastAsia" w:ascii="方正仿宋_GBK" w:hAnsi="方正仿宋_GBK" w:eastAsia="方正仿宋_GBK" w:cs="方正仿宋_GBK"/>
                <w:spacing w:val="38"/>
                <w:sz w:val="28"/>
                <w:szCs w:val="24"/>
                <w:highlight w:val="none"/>
              </w:rPr>
              <w:t>调查单位个人次</w:t>
            </w:r>
          </w:p>
        </w:tc>
      </w:tr>
    </w:tbl>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32"/>
          <w:szCs w:val="32"/>
        </w:rPr>
      </w:pPr>
    </w:p>
    <w:p>
      <w:pPr>
        <w:keepNext w:val="0"/>
        <w:keepLines w:val="0"/>
        <w:pageBreakBefore w:val="0"/>
        <w:kinsoku/>
        <w:overflowPunct/>
        <w:topLinePunct w:val="0"/>
        <w:autoSpaceDE/>
        <w:autoSpaceDN/>
        <w:bidi w:val="0"/>
        <w:adjustRightInd w:val="0"/>
        <w:snapToGrid w:val="0"/>
        <w:spacing w:line="560" w:lineRule="exact"/>
        <w:jc w:val="left"/>
        <w:outlineLvl w:val="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说明：须由申报者本人填写</w:t>
      </w:r>
    </w:p>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32"/>
          <w:szCs w:val="32"/>
        </w:rPr>
        <w:sectPr>
          <w:headerReference r:id="rId4" w:type="first"/>
          <w:headerReference r:id="rId3" w:type="default"/>
          <w:footerReference r:id="rId5" w:type="default"/>
          <w:pgSz w:w="11900" w:h="16840"/>
          <w:pgMar w:top="1440" w:right="1746" w:bottom="1383" w:left="1800" w:header="567" w:footer="567" w:gutter="0"/>
          <w:pgNumType w:fmt="numberInDash"/>
          <w:cols w:space="720" w:num="1"/>
          <w:docGrid w:linePitch="360" w:charSpace="0"/>
        </w:sectPr>
      </w:pPr>
    </w:p>
    <w:p>
      <w:pPr>
        <w:keepNext w:val="0"/>
        <w:keepLines w:val="0"/>
        <w:pageBreakBefore w:val="0"/>
        <w:kinsoku/>
        <w:overflowPunct/>
        <w:topLinePunct w:val="0"/>
        <w:autoSpaceDE/>
        <w:autoSpaceDN/>
        <w:bidi w:val="0"/>
        <w:adjustRightInd w:val="0"/>
        <w:snapToGrid w:val="0"/>
        <w:spacing w:line="560" w:lineRule="exact"/>
        <w:jc w:val="left"/>
        <w:outlineLvl w:val="0"/>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2</w:t>
      </w:r>
    </w:p>
    <w:tbl>
      <w:tblPr>
        <w:tblStyle w:val="11"/>
        <w:tblpPr w:leftFromText="180" w:rightFromText="180" w:vertAnchor="page" w:horzAnchor="page" w:tblpX="1032" w:tblpY="2602"/>
        <w:tblOverlap w:val="never"/>
        <w:tblW w:w="14724" w:type="dxa"/>
        <w:tblInd w:w="0" w:type="dxa"/>
        <w:tblLayout w:type="autofit"/>
        <w:tblCellMar>
          <w:top w:w="0" w:type="dxa"/>
          <w:left w:w="108" w:type="dxa"/>
          <w:bottom w:w="0" w:type="dxa"/>
          <w:right w:w="108" w:type="dxa"/>
        </w:tblCellMar>
      </w:tblPr>
      <w:tblGrid>
        <w:gridCol w:w="1227"/>
        <w:gridCol w:w="1227"/>
        <w:gridCol w:w="1227"/>
        <w:gridCol w:w="1227"/>
        <w:gridCol w:w="1227"/>
        <w:gridCol w:w="1227"/>
        <w:gridCol w:w="1519"/>
        <w:gridCol w:w="1055"/>
        <w:gridCol w:w="1223"/>
        <w:gridCol w:w="1111"/>
        <w:gridCol w:w="1227"/>
        <w:gridCol w:w="1227"/>
      </w:tblGrid>
      <w:tr>
        <w:tblPrEx>
          <w:tblCellMar>
            <w:top w:w="0" w:type="dxa"/>
            <w:left w:w="108" w:type="dxa"/>
            <w:bottom w:w="0" w:type="dxa"/>
            <w:right w:w="108" w:type="dxa"/>
          </w:tblCellMar>
        </w:tblPrEx>
        <w:trPr>
          <w:trHeight w:val="676" w:hRule="atLeast"/>
        </w:trPr>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申报单位</w:t>
            </w:r>
          </w:p>
        </w:tc>
        <w:tc>
          <w:tcPr>
            <w:tcW w:w="368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例如广东外语外贸大学团委</w:t>
            </w:r>
          </w:p>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sz w:val="24"/>
                <w:szCs w:val="24"/>
                <w:lang w:eastAsia="zh-CN"/>
              </w:rPr>
              <w:t>（加盖公章）</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高校</w:t>
            </w:r>
          </w:p>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负责人</w:t>
            </w:r>
          </w:p>
        </w:tc>
        <w:tc>
          <w:tcPr>
            <w:tcW w:w="380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联系方式</w:t>
            </w:r>
          </w:p>
        </w:tc>
        <w:tc>
          <w:tcPr>
            <w:tcW w:w="356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986" w:hRule="atLeast"/>
        </w:trPr>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作品名称</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队伍名称</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w:t>
            </w:r>
          </w:p>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负责人</w:t>
            </w:r>
          </w:p>
        </w:tc>
        <w:tc>
          <w:tcPr>
            <w:tcW w:w="245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队伍负责人学院、年级、专业班级</w:t>
            </w:r>
          </w:p>
        </w:tc>
        <w:tc>
          <w:tcPr>
            <w:tcW w:w="151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队伍负责人联系方式</w:t>
            </w:r>
          </w:p>
        </w:tc>
        <w:tc>
          <w:tcPr>
            <w:tcW w:w="10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队伍成员姓名</w:t>
            </w:r>
          </w:p>
        </w:tc>
        <w:tc>
          <w:tcPr>
            <w:tcW w:w="233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队伍成员学校、学院、年级、专业班级</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队员联系电话</w:t>
            </w:r>
          </w:p>
        </w:tc>
        <w:tc>
          <w:tcPr>
            <w:tcW w:w="12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指导老师</w:t>
            </w:r>
          </w:p>
        </w:tc>
      </w:tr>
      <w:tr>
        <w:tblPrEx>
          <w:tblCellMar>
            <w:top w:w="0" w:type="dxa"/>
            <w:left w:w="108" w:type="dxa"/>
            <w:bottom w:w="0" w:type="dxa"/>
            <w:right w:w="108" w:type="dxa"/>
          </w:tblCellMar>
        </w:tblPrEx>
        <w:trPr>
          <w:trHeight w:val="454" w:hRule="atLeast"/>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454"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例：</w:t>
            </w:r>
          </w:p>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社会与公共管理学院2019级行政管理</w:t>
            </w:r>
          </w:p>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（专业全称）1901</w:t>
            </w:r>
          </w:p>
        </w:tc>
        <w:tc>
          <w:tcPr>
            <w:tcW w:w="15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54" w:hRule="atLeast"/>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54" w:hRule="atLeast"/>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54" w:hRule="atLeast"/>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54" w:hRule="atLeast"/>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54" w:hRule="atLeast"/>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54" w:hRule="atLeast"/>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2454"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hint="eastAsia" w:ascii="方正仿宋_GBK" w:hAnsi="方正仿宋_GBK" w:eastAsia="方正仿宋_GBK" w:cs="方正仿宋_GBK"/>
                <w:sz w:val="24"/>
                <w:szCs w:val="24"/>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397"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c>
          <w:tcPr>
            <w:tcW w:w="134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1.每支参赛队伍人数不超过8人，每人仅限参加一支队伍，</w:t>
            </w:r>
            <w:r>
              <w:rPr>
                <w:rFonts w:hint="eastAsia" w:ascii="方正仿宋_GBK" w:hAnsi="方正仿宋_GBK" w:eastAsia="方正仿宋_GBK" w:cs="方正仿宋_GBK"/>
                <w:color w:val="000000"/>
                <w:sz w:val="24"/>
                <w:szCs w:val="24"/>
                <w:lang w:val="en-US" w:eastAsia="zh-CN"/>
              </w:rPr>
              <w:t>不可跨校组队，</w:t>
            </w:r>
            <w:r>
              <w:rPr>
                <w:rFonts w:hint="eastAsia" w:ascii="方正仿宋_GBK" w:hAnsi="方正仿宋_GBK" w:eastAsia="方正仿宋_GBK" w:cs="方正仿宋_GBK"/>
                <w:color w:val="000000"/>
                <w:sz w:val="24"/>
                <w:szCs w:val="24"/>
              </w:rPr>
              <w:t>每支队伍可配1-2名指导老师</w:t>
            </w:r>
            <w:r>
              <w:rPr>
                <w:rFonts w:hint="eastAsia" w:ascii="方正仿宋_GBK" w:hAnsi="方正仿宋_GBK" w:eastAsia="方正仿宋_GBK" w:cs="方正仿宋_GBK"/>
                <w:color w:val="000000"/>
                <w:sz w:val="24"/>
                <w:szCs w:val="24"/>
                <w:lang w:eastAsia="zh-CN"/>
              </w:rPr>
              <w:t>，每位指导老师最多可指导</w:t>
            </w:r>
            <w:r>
              <w:rPr>
                <w:rFonts w:hint="eastAsia" w:ascii="方正仿宋_GBK" w:hAnsi="方正仿宋_GBK" w:eastAsia="方正仿宋_GBK" w:cs="方正仿宋_GBK"/>
                <w:color w:val="000000"/>
                <w:sz w:val="24"/>
                <w:szCs w:val="24"/>
                <w:lang w:val="en-US" w:eastAsia="zh-CN"/>
              </w:rPr>
              <w:t>1支队伍</w:t>
            </w:r>
            <w:r>
              <w:rPr>
                <w:rFonts w:hint="eastAsia" w:ascii="方正仿宋_GBK" w:hAnsi="方正仿宋_GBK" w:eastAsia="方正仿宋_GBK" w:cs="方正仿宋_GBK"/>
                <w:color w:val="000000"/>
                <w:sz w:val="24"/>
                <w:szCs w:val="24"/>
              </w:rPr>
              <w:t>；</w:t>
            </w:r>
          </w:p>
          <w:p>
            <w:pPr>
              <w:pStyle w:val="2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2.截止至2022年</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月1</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以学校为单位汇总本校推选队伍的调研报告并填写调研报告情况表（附件</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）、报名汇总表（附件</w:t>
            </w:r>
            <w:r>
              <w:rPr>
                <w:rFonts w:hint="eastAsia" w:ascii="方正仿宋_GBK" w:hAnsi="方正仿宋_GBK" w:eastAsia="方正仿宋_GBK" w:cs="方正仿宋_GBK"/>
                <w:color w:val="000000"/>
                <w:sz w:val="24"/>
                <w:szCs w:val="24"/>
                <w:lang w:val="en-US" w:eastAsia="zh-CN"/>
              </w:rPr>
              <w:t>2，加盖所在学校团委公章</w:t>
            </w:r>
            <w:r>
              <w:rPr>
                <w:rFonts w:hint="eastAsia" w:ascii="方正仿宋_GBK" w:hAnsi="方正仿宋_GBK" w:eastAsia="方正仿宋_GBK" w:cs="方正仿宋_GBK"/>
                <w:color w:val="000000"/>
                <w:sz w:val="24"/>
                <w:szCs w:val="24"/>
              </w:rPr>
              <w:t>），统一命名为</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学校名称+社调大赛作品</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发送至gdsd@gdufs.edu.cn。</w:t>
            </w:r>
          </w:p>
        </w:tc>
      </w:tr>
    </w:tbl>
    <w:p>
      <w:pPr>
        <w:keepNext w:val="0"/>
        <w:keepLines w:val="0"/>
        <w:pageBreakBefore w:val="0"/>
        <w:kinsoku/>
        <w:overflowPunct/>
        <w:topLinePunct w:val="0"/>
        <w:autoSpaceDE/>
        <w:autoSpaceDN/>
        <w:bidi w:val="0"/>
        <w:spacing w:before="312" w:beforeLines="100" w:line="560" w:lineRule="exact"/>
        <w:jc w:val="center"/>
        <w:rPr>
          <w:rFonts w:hint="eastAsia" w:ascii="方正小标宋简体" w:hAnsi="方正小标宋简体" w:eastAsia="方正小标宋简体" w:cs="方正小标宋简体"/>
          <w:b w:val="0"/>
          <w:bCs w:val="0"/>
          <w:sz w:val="44"/>
          <w:szCs w:val="44"/>
          <w:highlight w:val="none"/>
        </w:rPr>
        <w:sectPr>
          <w:pgSz w:w="16840" w:h="11900" w:orient="landscape"/>
          <w:pgMar w:top="720" w:right="720" w:bottom="720" w:left="720" w:header="567" w:footer="567" w:gutter="0"/>
          <w:pgNumType w:fmt="numberInDash"/>
          <w:cols w:space="720" w:num="1"/>
          <w:docGrid w:linePitch="360" w:charSpace="0"/>
        </w:sectPr>
      </w:pPr>
      <w:r>
        <w:rPr>
          <w:rFonts w:hint="eastAsia" w:ascii="方正小标宋简体" w:hAnsi="方正小标宋简体" w:eastAsia="方正小标宋简体" w:cs="方正小标宋简体"/>
          <w:b w:val="0"/>
          <w:bCs w:val="0"/>
          <w:sz w:val="44"/>
          <w:szCs w:val="44"/>
          <w:highlight w:val="none"/>
        </w:rPr>
        <w:t>广东大学生社会治理调研大赛报名汇总表</w:t>
      </w:r>
    </w:p>
    <w:p>
      <w:pPr>
        <w:keepNext w:val="0"/>
        <w:keepLines w:val="0"/>
        <w:pageBreakBefore w:val="0"/>
        <w:kinsoku/>
        <w:overflowPunct/>
        <w:topLinePunct w:val="0"/>
        <w:autoSpaceDE/>
        <w:autoSpaceDN/>
        <w:bidi w:val="0"/>
        <w:spacing w:line="560" w:lineRule="exact"/>
        <w:jc w:val="lef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312" w:beforeLines="100" w:line="720" w:lineRule="exact"/>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调研报告</w:t>
      </w:r>
      <w:r>
        <w:rPr>
          <w:rFonts w:hint="eastAsia" w:ascii="方正小标宋简体" w:hAnsi="方正小标宋简体" w:eastAsia="方正小标宋简体" w:cs="方正小标宋简体"/>
          <w:sz w:val="44"/>
          <w:szCs w:val="44"/>
          <w:highlight w:val="none"/>
          <w:lang w:val="en-US" w:eastAsia="zh-CN"/>
        </w:rPr>
        <w:t>格式要求</w:t>
      </w:r>
    </w:p>
    <w:p>
      <w:pPr>
        <w:pStyle w:val="2"/>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pacing w:line="560" w:lineRule="exact"/>
        <w:ind w:firstLine="640" w:firstLineChars="200"/>
        <w:jc w:val="left"/>
        <w:rPr>
          <w:rFonts w:hint="eastAsia" w:ascii="方正黑体_GBK" w:hAnsi="方正黑体_GBK" w:eastAsia="方正黑体_GBK" w:cs="方正黑体_GBK"/>
          <w:sz w:val="32"/>
          <w:szCs w:val="32"/>
          <w:lang w:eastAsia="zh-CN"/>
        </w:rPr>
      </w:pPr>
      <w:bookmarkStart w:id="11" w:name="撰写基本规范"/>
      <w:bookmarkEnd w:id="11"/>
      <w:r>
        <w:rPr>
          <w:rFonts w:hint="eastAsia" w:ascii="方正黑体_GBK" w:hAnsi="方正黑体_GBK" w:eastAsia="方正黑体_GBK" w:cs="方正黑体_GBK"/>
          <w:sz w:val="32"/>
          <w:szCs w:val="32"/>
          <w:lang w:eastAsia="zh-CN"/>
        </w:rPr>
        <w:t>一、字体要求</w:t>
      </w:r>
    </w:p>
    <w:p>
      <w:pPr>
        <w:keepNext w:val="0"/>
        <w:keepLines w:val="0"/>
        <w:pageBreakBefore w:val="0"/>
        <w:kinsoku/>
        <w:overflowPunct/>
        <w:topLinePunct w:val="0"/>
        <w:autoSpaceDE/>
        <w:autoSpaceDN/>
        <w:bidi w:val="0"/>
        <w:adjustRightInd/>
        <w:spacing w:line="56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统一用A4版面，竖向横排，双面打印</w:t>
      </w:r>
      <w:r>
        <w:rPr>
          <w:rFonts w:hint="eastAsia" w:ascii="方正仿宋_GBK" w:hAnsi="方正仿宋_GBK" w:eastAsia="方正仿宋_GBK" w:cs="方正仿宋_GBK"/>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版面的边距设为上、下页边距2.54cm，左、右边距3.17cm（即Word默认值）</w:t>
      </w:r>
      <w:r>
        <w:rPr>
          <w:rFonts w:hint="eastAsia" w:ascii="方正仿宋_GBK" w:hAnsi="方正仿宋_GBK" w:eastAsia="方正仿宋_GBK" w:cs="方正仿宋_GBK"/>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3.标题为二号黑体居中，正文为宋体小四，行间距1.5倍。</w:t>
      </w:r>
    </w:p>
    <w:p>
      <w:pPr>
        <w:keepNext w:val="0"/>
        <w:keepLines w:val="0"/>
        <w:pageBreakBefore w:val="0"/>
        <w:kinsoku/>
        <w:overflowPunct/>
        <w:topLinePunct w:val="0"/>
        <w:autoSpaceDE/>
        <w:autoSpaceDN/>
        <w:bidi w:val="0"/>
        <w:adjustRightInd/>
        <w:spacing w:line="560" w:lineRule="exact"/>
        <w:ind w:firstLine="640" w:firstLineChars="200"/>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二、调研报告结构</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导言（包括</w:t>
      </w:r>
      <w:r>
        <w:rPr>
          <w:rFonts w:hint="eastAsia" w:ascii="方正仿宋_GBK" w:hAnsi="方正仿宋_GBK" w:eastAsia="方正仿宋_GBK" w:cs="方正仿宋_GBK"/>
          <w:kern w:val="2"/>
          <w:sz w:val="32"/>
          <w:szCs w:val="32"/>
          <w:lang w:eastAsia="zh-CN"/>
        </w:rPr>
        <w:t>研究内容</w:t>
      </w:r>
      <w:r>
        <w:rPr>
          <w:rFonts w:hint="eastAsia" w:ascii="方正仿宋_GBK" w:hAnsi="方正仿宋_GBK" w:eastAsia="方正仿宋_GBK" w:cs="方正仿宋_GBK"/>
          <w:kern w:val="2"/>
          <w:sz w:val="32"/>
          <w:szCs w:val="32"/>
        </w:rPr>
        <w:t>、研究背景、研究意义等）</w:t>
      </w:r>
      <w:r>
        <w:rPr>
          <w:rFonts w:hint="eastAsia" w:ascii="方正仿宋_GBK" w:hAnsi="方正仿宋_GBK" w:eastAsia="方正仿宋_GBK" w:cs="方正仿宋_GBK"/>
          <w:kern w:val="2"/>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样本与资料（包括资料收集方法、抽样方法、样本的基本情况、变量设计等）</w:t>
      </w:r>
      <w:r>
        <w:rPr>
          <w:rFonts w:hint="eastAsia" w:ascii="方正仿宋_GBK" w:hAnsi="方正仿宋_GBK" w:eastAsia="方正仿宋_GBK" w:cs="方正仿宋_GBK"/>
          <w:kern w:val="2"/>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3</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结果与分析（具体内容依据调</w:t>
      </w:r>
      <w:r>
        <w:rPr>
          <w:rFonts w:hint="eastAsia" w:ascii="方正仿宋_GBK" w:hAnsi="方正仿宋_GBK" w:eastAsia="方正仿宋_GBK" w:cs="方正仿宋_GBK"/>
          <w:kern w:val="2"/>
          <w:sz w:val="32"/>
          <w:szCs w:val="32"/>
          <w:lang w:eastAsia="zh-CN"/>
        </w:rPr>
        <w:t>研</w:t>
      </w:r>
      <w:r>
        <w:rPr>
          <w:rFonts w:hint="eastAsia" w:ascii="方正仿宋_GBK" w:hAnsi="方正仿宋_GBK" w:eastAsia="方正仿宋_GBK" w:cs="方正仿宋_GBK"/>
          <w:kern w:val="2"/>
          <w:sz w:val="32"/>
          <w:szCs w:val="32"/>
        </w:rPr>
        <w:t>结果而定）</w:t>
      </w:r>
      <w:r>
        <w:rPr>
          <w:rFonts w:hint="eastAsia" w:ascii="方正仿宋_GBK" w:hAnsi="方正仿宋_GBK" w:eastAsia="方正仿宋_GBK" w:cs="方正仿宋_GBK"/>
          <w:kern w:val="2"/>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4</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讨论与小结（包括研究结论的小结、对策建议等）</w:t>
      </w:r>
      <w:r>
        <w:rPr>
          <w:rFonts w:hint="eastAsia" w:ascii="方正仿宋_GBK" w:hAnsi="方正仿宋_GBK" w:eastAsia="方正仿宋_GBK" w:cs="方正仿宋_GBK"/>
          <w:kern w:val="2"/>
          <w:sz w:val="32"/>
          <w:szCs w:val="32"/>
          <w:lang w:eastAsia="zh-CN"/>
        </w:rPr>
        <w:t>；</w:t>
      </w:r>
      <w:bookmarkStart w:id="13" w:name="_GoBack"/>
      <w:bookmarkEnd w:id="13"/>
    </w:p>
    <w:p>
      <w:pPr>
        <w:keepNext w:val="0"/>
        <w:keepLines w:val="0"/>
        <w:pageBreakBefore w:val="0"/>
        <w:kinsoku/>
        <w:overflowPunct/>
        <w:topLinePunct w:val="0"/>
        <w:autoSpaceDE/>
        <w:autoSpaceDN/>
        <w:bidi w:val="0"/>
        <w:spacing w:line="560" w:lineRule="exact"/>
        <w:ind w:left="0" w:leftChars="0"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5</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附带材料：所使用的调查问卷、访谈稿</w:t>
      </w:r>
      <w:r>
        <w:rPr>
          <w:rFonts w:hint="eastAsia" w:ascii="方正仿宋_GBK" w:hAnsi="方正仿宋_GBK" w:eastAsia="方正仿宋_GBK" w:cs="方正仿宋_GBK"/>
          <w:kern w:val="2"/>
          <w:sz w:val="32"/>
          <w:szCs w:val="32"/>
          <w:lang w:eastAsia="zh-CN"/>
        </w:rPr>
        <w:t>等。</w:t>
      </w:r>
    </w:p>
    <w:p>
      <w:pPr>
        <w:keepNext w:val="0"/>
        <w:keepLines w:val="0"/>
        <w:pageBreakBefore w:val="0"/>
        <w:kinsoku/>
        <w:overflowPunct/>
        <w:topLinePunct w:val="0"/>
        <w:autoSpaceDE/>
        <w:autoSpaceDN/>
        <w:bidi w:val="0"/>
        <w:adjustRightInd/>
        <w:spacing w:line="560" w:lineRule="exact"/>
        <w:ind w:firstLine="0" w:firstLineChars="0"/>
        <w:jc w:val="left"/>
        <w:rPr>
          <w:rFonts w:hint="eastAsia" w:ascii="方正仿宋_GBK" w:hAnsi="方正仿宋_GBK" w:eastAsia="方正仿宋_GBK" w:cs="方正仿宋_GBK"/>
          <w:i/>
          <w:sz w:val="32"/>
          <w:szCs w:val="32"/>
        </w:rPr>
      </w:pPr>
      <w:bookmarkStart w:id="12" w:name="非外语文科专业"/>
      <w:bookmarkEnd w:id="12"/>
    </w:p>
    <w:sectPr>
      <w:pgSz w:w="11900" w:h="16840"/>
      <w:pgMar w:top="1440" w:right="1800" w:bottom="1440" w:left="1800" w:header="567" w:footer="567"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26D280D-2368-4031-A149-1E36F2D18CCE}"/>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ngLiU">
    <w:panose1 w:val="02020509000000000000"/>
    <w:charset w:val="88"/>
    <w:family w:val="modern"/>
    <w:pitch w:val="default"/>
    <w:sig w:usb0="A00002FF" w:usb1="28CFFCFA" w:usb2="00000016" w:usb3="00000000" w:csb0="00100001" w:csb1="00000000"/>
    <w:embedRegular r:id="rId2" w:fontKey="{BE8E0C47-93B0-43B4-8C19-F1B379941D98}"/>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B1FFA4CF-2D11-4A39-8321-0A027364A847}"/>
  </w:font>
  <w:font w:name="方正黑体_GBK">
    <w:panose1 w:val="03000509000000000000"/>
    <w:charset w:val="86"/>
    <w:family w:val="auto"/>
    <w:pitch w:val="default"/>
    <w:sig w:usb0="00000001" w:usb1="080E0000" w:usb2="00000000" w:usb3="00000000" w:csb0="00040000" w:csb1="00000000"/>
    <w:embedRegular r:id="rId4" w:fontKey="{9929B75E-EE8E-4763-9802-DFCDF19FD20B}"/>
  </w:font>
  <w:font w:name="方正楷体_GBK">
    <w:panose1 w:val="03000509000000000000"/>
    <w:charset w:val="86"/>
    <w:family w:val="auto"/>
    <w:pitch w:val="default"/>
    <w:sig w:usb0="00000001" w:usb1="080E0000" w:usb2="00000000" w:usb3="00000000" w:csb0="00040000" w:csb1="00000000"/>
    <w:embedRegular r:id="rId5" w:fontKey="{6BD4A596-5B4F-42E5-ACBD-78631526B1D9}"/>
  </w:font>
  <w:font w:name="方正仿宋简体">
    <w:panose1 w:val="02000000000000000000"/>
    <w:charset w:val="86"/>
    <w:family w:val="auto"/>
    <w:pitch w:val="default"/>
    <w:sig w:usb0="A00002BF" w:usb1="184F6CFA" w:usb2="00000012" w:usb3="00000000" w:csb0="00040001" w:csb1="00000000"/>
    <w:embedRegular r:id="rId6" w:fontKey="{E8B17387-3D3D-480F-991D-3952D8D229A0}"/>
  </w:font>
  <w:font w:name="微软雅黑">
    <w:panose1 w:val="020B0503020204020204"/>
    <w:charset w:val="86"/>
    <w:family w:val="auto"/>
    <w:pitch w:val="default"/>
    <w:sig w:usb0="80000287" w:usb1="2ACF3C50" w:usb2="00000016" w:usb3="00000000" w:csb0="0004001F" w:csb1="00000000"/>
    <w:embedRegular r:id="rId7" w:fontKey="{763CAE4D-838D-425C-AA79-5B68902444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mc:AlternateContent>
        <mc:Choice Requires="wps">
          <w:drawing>
            <wp:anchor distT="0" distB="0" distL="0" distR="0" simplePos="0" relativeHeight="251659264" behindDoc="0" locked="0" layoutInCell="1" allowOverlap="1">
              <wp:simplePos x="0" y="0"/>
              <wp:positionH relativeFrom="margin">
                <wp:posOffset>4737100</wp:posOffset>
              </wp:positionH>
              <wp:positionV relativeFrom="paragraph">
                <wp:posOffset>-199390</wp:posOffset>
              </wp:positionV>
              <wp:extent cx="533400" cy="429895"/>
              <wp:effectExtent l="0" t="0" r="0" b="0"/>
              <wp:wrapNone/>
              <wp:docPr id="4097" name="文本框 3"/>
              <wp:cNvGraphicFramePr/>
              <a:graphic xmlns:a="http://schemas.openxmlformats.org/drawingml/2006/main">
                <a:graphicData uri="http://schemas.microsoft.com/office/word/2010/wordprocessingShape">
                  <wps:wsp>
                    <wps:cNvSpPr/>
                    <wps:spPr>
                      <a:xfrm>
                        <a:off x="0" y="0"/>
                        <a:ext cx="533400" cy="429895"/>
                      </a:xfrm>
                      <a:prstGeom prst="rect">
                        <a:avLst/>
                      </a:prstGeom>
                      <a:ln>
                        <a:noFill/>
                      </a:ln>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lIns="0" tIns="0" rIns="0" bIns="0"/>
                  </wps:wsp>
                </a:graphicData>
              </a:graphic>
            </wp:anchor>
          </w:drawing>
        </mc:Choice>
        <mc:Fallback>
          <w:pict>
            <v:rect id="文本框 3" o:spid="_x0000_s1026" o:spt="1" style="position:absolute;left:0pt;margin-left:373pt;margin-top:-15.7pt;height:33.85pt;width:42pt;mso-position-horizontal-relative:margin;z-index:251659264;mso-width-relative:page;mso-height-relative:page;" filled="f" stroked="f" coordsize="21600,21600" o:gfxdata="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gux&#10;SdsAAAAKAQAADwAAAAAAAAABACAAAAAiAAAAZHJzL2Rvd25yZXYueG1sUEsBAhQAFAAAAAgAh07i&#10;QGgdyGutAQAAUwMAAA4AAAAAAAAAAQAgAAAAKgEAAGRycy9lMm9Eb2MueG1sUEsFBgAAAAAGAAYA&#10;WQEAAEkFAAAAAA==&#10;">
              <v:fill on="f" focussize="0,0"/>
              <v:stroke on="f"/>
              <v:imagedata o:title=""/>
              <o:lock v:ext="edit" aspectratio="f"/>
              <v:textbox inset="0mm,0mm,0mm,0mm">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p>
  <w:p>
    <w:pPr>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jc w:val="center"/>
      <w:rPr>
        <w:rFonts w:ascii="宋体" w:hAnsi="宋体" w:cs="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Style w:val="20"/>
      </w:rPr>
      <w:t>2017年职业技能大赛中职组“物联网技术应用与维护”任务书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963F3"/>
    <w:rsid w:val="024F6953"/>
    <w:rsid w:val="03DF036B"/>
    <w:rsid w:val="053274CE"/>
    <w:rsid w:val="086C7F2C"/>
    <w:rsid w:val="0BBA0B5B"/>
    <w:rsid w:val="0C9A5ED3"/>
    <w:rsid w:val="0F6409A9"/>
    <w:rsid w:val="0FE844BF"/>
    <w:rsid w:val="122140A4"/>
    <w:rsid w:val="12564C2B"/>
    <w:rsid w:val="13590AAF"/>
    <w:rsid w:val="135A6481"/>
    <w:rsid w:val="13F74DA9"/>
    <w:rsid w:val="14705927"/>
    <w:rsid w:val="161250BE"/>
    <w:rsid w:val="18C67B50"/>
    <w:rsid w:val="1CE2104F"/>
    <w:rsid w:val="1D057D11"/>
    <w:rsid w:val="1D87661B"/>
    <w:rsid w:val="20EF0E4F"/>
    <w:rsid w:val="22A80C9C"/>
    <w:rsid w:val="2585092A"/>
    <w:rsid w:val="278861C2"/>
    <w:rsid w:val="27EA52CB"/>
    <w:rsid w:val="28500BFF"/>
    <w:rsid w:val="2A955B6C"/>
    <w:rsid w:val="2F5677B5"/>
    <w:rsid w:val="2F8530AA"/>
    <w:rsid w:val="2FD1422A"/>
    <w:rsid w:val="31BE6539"/>
    <w:rsid w:val="32CB5278"/>
    <w:rsid w:val="32D76A70"/>
    <w:rsid w:val="35CA0EE5"/>
    <w:rsid w:val="38DF3D9A"/>
    <w:rsid w:val="3F855E68"/>
    <w:rsid w:val="407373E1"/>
    <w:rsid w:val="40A35A86"/>
    <w:rsid w:val="40AF2E09"/>
    <w:rsid w:val="41AD0349"/>
    <w:rsid w:val="42334885"/>
    <w:rsid w:val="438F6796"/>
    <w:rsid w:val="44C71617"/>
    <w:rsid w:val="45AE48FD"/>
    <w:rsid w:val="46DA7725"/>
    <w:rsid w:val="496023F9"/>
    <w:rsid w:val="4C172E84"/>
    <w:rsid w:val="4C7A3029"/>
    <w:rsid w:val="4CBF4D3E"/>
    <w:rsid w:val="4D530372"/>
    <w:rsid w:val="4EB573F9"/>
    <w:rsid w:val="50D74045"/>
    <w:rsid w:val="52E14633"/>
    <w:rsid w:val="53427F34"/>
    <w:rsid w:val="537D586A"/>
    <w:rsid w:val="53884B3B"/>
    <w:rsid w:val="570C764F"/>
    <w:rsid w:val="577D5EF8"/>
    <w:rsid w:val="5BB26726"/>
    <w:rsid w:val="5EAC3900"/>
    <w:rsid w:val="61210496"/>
    <w:rsid w:val="6154366A"/>
    <w:rsid w:val="61D51FC1"/>
    <w:rsid w:val="642D44F4"/>
    <w:rsid w:val="64F8789F"/>
    <w:rsid w:val="671B56FF"/>
    <w:rsid w:val="6BBB2233"/>
    <w:rsid w:val="6C225FF1"/>
    <w:rsid w:val="6C954AD2"/>
    <w:rsid w:val="6E0C54DD"/>
    <w:rsid w:val="6F191E74"/>
    <w:rsid w:val="72604CD6"/>
    <w:rsid w:val="75A21489"/>
    <w:rsid w:val="77C71224"/>
    <w:rsid w:val="78B307E9"/>
    <w:rsid w:val="7A5E1541"/>
    <w:rsid w:val="7B18439F"/>
    <w:rsid w:val="7BE64797"/>
    <w:rsid w:val="7C9748D9"/>
    <w:rsid w:val="7C9833B0"/>
    <w:rsid w:val="7CF238B2"/>
    <w:rsid w:val="7F2B441C"/>
    <w:rsid w:val="7F8B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仿宋"/>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Calibri Light" w:hAnsi="Calibri Light" w:eastAsia="仿宋"/>
      <w:b/>
      <w:kern w:val="0"/>
      <w:sz w:val="28"/>
      <w:szCs w:val="20"/>
    </w:rPr>
  </w:style>
  <w:style w:type="paragraph" w:styleId="5">
    <w:name w:val="heading 3"/>
    <w:basedOn w:val="1"/>
    <w:next w:val="1"/>
    <w:qFormat/>
    <w:uiPriority w:val="0"/>
    <w:pPr>
      <w:keepNext/>
      <w:keepLines/>
      <w:spacing w:before="260" w:after="260" w:line="412" w:lineRule="auto"/>
      <w:outlineLvl w:val="2"/>
    </w:pPr>
    <w:rPr>
      <w:b/>
      <w:kern w:val="0"/>
      <w:sz w:val="32"/>
      <w:szCs w:val="20"/>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0"/>
    <w:pPr>
      <w:tabs>
        <w:tab w:val="center" w:pos="4153"/>
        <w:tab w:val="right" w:pos="8306"/>
      </w:tabs>
      <w:snapToGrid w:val="0"/>
      <w:jc w:val="left"/>
    </w:pPr>
    <w:rPr>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9">
    <w:name w:val="toc 1"/>
    <w:basedOn w:val="1"/>
    <w:next w:val="1"/>
    <w:qFormat/>
    <w:uiPriority w:val="0"/>
    <w:pPr>
      <w:tabs>
        <w:tab w:val="left" w:pos="540"/>
        <w:tab w:val="right" w:leader="dot" w:pos="8302"/>
      </w:tabs>
      <w:spacing w:line="600" w:lineRule="auto"/>
    </w:pPr>
  </w:style>
  <w:style w:type="paragraph" w:styleId="10">
    <w:name w:val="footnote text"/>
    <w:basedOn w:val="1"/>
    <w:qFormat/>
    <w:uiPriority w:val="0"/>
    <w:pPr>
      <w:snapToGrid w:val="0"/>
      <w:jc w:val="left"/>
    </w:pPr>
    <w:rPr>
      <w:sz w:val="18"/>
      <w:szCs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styleId="15">
    <w:name w:val="footnote reference"/>
    <w:basedOn w:val="13"/>
    <w:qFormat/>
    <w:uiPriority w:val="0"/>
    <w:rPr>
      <w:vertAlign w:val="superscript"/>
    </w:rPr>
  </w:style>
  <w:style w:type="paragraph" w:customStyle="1" w:styleId="16">
    <w:name w:val="彩色列表 - 着色 11"/>
    <w:basedOn w:val="1"/>
    <w:qFormat/>
    <w:uiPriority w:val="0"/>
    <w:pPr>
      <w:ind w:firstLine="420" w:firstLineChars="200"/>
    </w:pPr>
    <w:rPr>
      <w:rFonts w:ascii="Calibri" w:hAnsi="Calibri"/>
    </w:rPr>
  </w:style>
  <w:style w:type="paragraph" w:customStyle="1" w:styleId="17">
    <w:name w:val="正文文本 (4)"/>
    <w:basedOn w:val="1"/>
    <w:qFormat/>
    <w:uiPriority w:val="0"/>
    <w:pPr>
      <w:shd w:val="clear" w:color="auto" w:fill="FFFFFF"/>
      <w:spacing w:line="624" w:lineRule="exact"/>
      <w:ind w:firstLine="600"/>
      <w:jc w:val="distribute"/>
    </w:pPr>
    <w:rPr>
      <w:rFonts w:ascii="MingLiU" w:hAnsi="MingLiU" w:eastAsia="MingLiU"/>
      <w:b/>
      <w:bCs/>
      <w:kern w:val="0"/>
      <w:sz w:val="26"/>
      <w:szCs w:val="26"/>
    </w:rPr>
  </w:style>
  <w:style w:type="paragraph" w:customStyle="1" w:styleId="18">
    <w:name w:val="正文文本 (5)"/>
    <w:basedOn w:val="1"/>
    <w:qFormat/>
    <w:uiPriority w:val="0"/>
    <w:pPr>
      <w:shd w:val="clear" w:color="auto" w:fill="FFFFFF"/>
      <w:spacing w:line="619" w:lineRule="exact"/>
      <w:ind w:hanging="460"/>
      <w:jc w:val="distribute"/>
    </w:pPr>
    <w:rPr>
      <w:rFonts w:ascii="MingLiU" w:hAnsi="MingLiU" w:eastAsia="MingLiU"/>
      <w:b/>
      <w:bCs/>
      <w:spacing w:val="-10"/>
      <w:kern w:val="0"/>
      <w:sz w:val="28"/>
      <w:szCs w:val="28"/>
    </w:rPr>
  </w:style>
  <w:style w:type="paragraph" w:customStyle="1" w:styleId="19">
    <w:name w:val="页眉或页脚1"/>
    <w:basedOn w:val="1"/>
    <w:qFormat/>
    <w:uiPriority w:val="0"/>
    <w:pPr>
      <w:shd w:val="clear" w:color="auto" w:fill="FFFFFF"/>
      <w:spacing w:line="0" w:lineRule="atLeast"/>
      <w:jc w:val="left"/>
    </w:pPr>
    <w:rPr>
      <w:rFonts w:ascii="MingLiU" w:hAnsi="MingLiU" w:eastAsia="MingLiU"/>
      <w:kern w:val="0"/>
      <w:sz w:val="18"/>
      <w:szCs w:val="18"/>
    </w:rPr>
  </w:style>
  <w:style w:type="character" w:customStyle="1" w:styleId="20">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21">
    <w:name w:val="正文格式"/>
    <w:basedOn w:val="1"/>
    <w:qFormat/>
    <w:uiPriority w:val="0"/>
    <w:pPr>
      <w:adjustRightInd w:val="0"/>
      <w:snapToGrid w:val="0"/>
      <w:spacing w:line="560" w:lineRule="exact"/>
      <w:ind w:firstLine="800" w:firstLineChars="200"/>
    </w:pPr>
    <w:rPr>
      <w:rFonts w:eastAsia="仿宋_GB2312"/>
      <w:sz w:val="28"/>
    </w:rPr>
  </w:style>
  <w:style w:type="paragraph" w:customStyle="1" w:styleId="22">
    <w:name w:val="标题格式"/>
    <w:basedOn w:val="21"/>
    <w:qFormat/>
    <w:uiPriority w:val="0"/>
    <w:pPr>
      <w:spacing w:line="720" w:lineRule="exact"/>
      <w:ind w:firstLine="0" w:firstLineChars="0"/>
    </w:pPr>
    <w:rPr>
      <w:sz w:val="32"/>
    </w:rPr>
  </w:style>
  <w:style w:type="character" w:customStyle="1" w:styleId="23">
    <w:name w:val="apple-style-span"/>
    <w:basedOn w:val="13"/>
    <w:qFormat/>
    <w:uiPriority w:val="0"/>
  </w:style>
  <w:style w:type="paragraph" w:styleId="24">
    <w:name w:val="List Paragraph"/>
    <w:basedOn w:val="1"/>
    <w:qFormat/>
    <w:uiPriority w:val="99"/>
    <w:pPr>
      <w:ind w:firstLine="420" w:firstLineChars="200"/>
    </w:pPr>
  </w:style>
  <w:style w:type="paragraph" w:customStyle="1" w:styleId="25">
    <w:name w:val="Revision_8b78944e-3cf0-42b5-9af7-504fcd1f6d86"/>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3313</Words>
  <Characters>3547</Characters>
  <Paragraphs>390</Paragraphs>
  <TotalTime>0</TotalTime>
  <ScaleCrop>false</ScaleCrop>
  <LinksUpToDate>false</LinksUpToDate>
  <CharactersWithSpaces>3600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2022-03-09T14:14:00Z</dcterms:created>
  <dc:creator>孙丽媛</dc:creator>
  <cp:lastModifiedBy>浪子天涯行</cp:lastModifiedBy>
  <cp:lastPrinted>2022-03-22T02:00:00Z</cp:lastPrinted>
  <dcterms:modified xsi:type="dcterms:W3CDTF">2022-03-30T09:19:17Z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C78A5967B5464DAC9B3DBFC8A1E2C487</vt:lpwstr>
  </property>
  <property fmtid="{D5CDD505-2E9C-101B-9397-08002B2CF9AE}" pid="4" name="KSOSaveFontToCloudKey">
    <vt:lpwstr>24671093_embed</vt:lpwstr>
  </property>
</Properties>
</file>