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E205" w14:textId="77777777" w:rsidR="00965BB3" w:rsidRDefault="00000000">
      <w:pPr>
        <w:jc w:val="left"/>
        <w:rPr>
          <w:b/>
          <w:sz w:val="28"/>
          <w:szCs w:val="28"/>
        </w:rPr>
      </w:pPr>
      <w:r>
        <w:rPr>
          <w:rFonts w:ascii="华文行楷" w:eastAsia="华文行楷" w:hint="eastAsia"/>
          <w:b/>
          <w:sz w:val="30"/>
          <w:szCs w:val="30"/>
        </w:rPr>
        <w:t>张裕小萄气泡葡萄酒全国大学生市场营销大赛</w:t>
      </w:r>
    </w:p>
    <w:p w14:paraId="45BD4B9A" w14:textId="77777777" w:rsidR="00965BB3" w:rsidRDefault="00965BB3">
      <w:pPr>
        <w:jc w:val="center"/>
        <w:rPr>
          <w:rFonts w:ascii="华文行楷" w:eastAsia="华文行楷"/>
          <w:b/>
          <w:sz w:val="72"/>
          <w:szCs w:val="72"/>
        </w:rPr>
      </w:pPr>
    </w:p>
    <w:p w14:paraId="118B7687" w14:textId="77777777" w:rsidR="00965BB3" w:rsidRDefault="00000000">
      <w:pPr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市场营销方案策划书</w:t>
      </w:r>
    </w:p>
    <w:p w14:paraId="53DBE69F" w14:textId="77777777" w:rsidR="00965BB3" w:rsidRDefault="00965BB3">
      <w:pPr>
        <w:rPr>
          <w:b/>
          <w:sz w:val="30"/>
          <w:szCs w:val="30"/>
        </w:rPr>
      </w:pPr>
    </w:p>
    <w:p w14:paraId="01FC2864" w14:textId="77777777" w:rsidR="00965BB3" w:rsidRDefault="00965BB3">
      <w:pPr>
        <w:rPr>
          <w:b/>
          <w:sz w:val="30"/>
          <w:szCs w:val="30"/>
        </w:rPr>
      </w:pPr>
    </w:p>
    <w:p w14:paraId="65760B0A" w14:textId="77777777" w:rsidR="00965BB3" w:rsidRDefault="00000000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队伍名称：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     </w:t>
      </w:r>
    </w:p>
    <w:p w14:paraId="05474707" w14:textId="77777777" w:rsidR="00965BB3" w:rsidRDefault="00000000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学校名称：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     </w:t>
      </w:r>
    </w:p>
    <w:p w14:paraId="0C0F6D4D" w14:textId="77777777" w:rsidR="00965BB3" w:rsidRDefault="00000000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参考命题方向：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 </w:t>
      </w:r>
    </w:p>
    <w:p w14:paraId="5C1F0229" w14:textId="77777777" w:rsidR="00965BB3" w:rsidRDefault="00000000">
      <w:pPr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>
        <w:rPr>
          <w:rFonts w:hint="eastAsia"/>
          <w:b/>
          <w:sz w:val="30"/>
          <w:szCs w:val="30"/>
        </w:rPr>
        <w:t>负责人联系电话</w:t>
      </w:r>
      <w:r>
        <w:rPr>
          <w:rFonts w:hint="eastAsia"/>
          <w:b/>
          <w:sz w:val="30"/>
          <w:szCs w:val="30"/>
        </w:rPr>
        <w:t>: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</w:t>
      </w:r>
    </w:p>
    <w:p w14:paraId="3BA683F0" w14:textId="77777777" w:rsidR="00965BB3" w:rsidRDefault="00000000">
      <w:pPr>
        <w:rPr>
          <w:rFonts w:ascii="宋体" w:hAnsi="宋体" w:cs="宋体" w:hint="eastAsia"/>
          <w:b/>
          <w:kern w:val="0"/>
          <w:sz w:val="28"/>
          <w:szCs w:val="28"/>
          <w:u w:val="single"/>
        </w:rPr>
      </w:pPr>
      <w:r>
        <w:rPr>
          <w:rFonts w:hint="eastAsia"/>
          <w:b/>
          <w:sz w:val="30"/>
          <w:szCs w:val="30"/>
        </w:rPr>
        <w:t>指导老师：姓名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  </w:t>
      </w:r>
    </w:p>
    <w:p w14:paraId="7BD4E1C8" w14:textId="77777777" w:rsidR="00965BB3" w:rsidRDefault="00965BB3">
      <w:pPr>
        <w:rPr>
          <w:b/>
          <w:sz w:val="30"/>
          <w:szCs w:val="30"/>
        </w:rPr>
      </w:pPr>
    </w:p>
    <w:p w14:paraId="7F302270" w14:textId="77777777" w:rsidR="00965BB3" w:rsidRDefault="00965BB3">
      <w:pPr>
        <w:rPr>
          <w:b/>
          <w:sz w:val="30"/>
          <w:szCs w:val="30"/>
        </w:rPr>
      </w:pPr>
    </w:p>
    <w:p w14:paraId="0462D480" w14:textId="77777777" w:rsidR="00965BB3" w:rsidRDefault="00000000"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成员信息：</w:t>
      </w:r>
      <w:r>
        <w:rPr>
          <w:rFonts w:hint="eastAsia"/>
          <w:b/>
          <w:sz w:val="28"/>
          <w:szCs w:val="28"/>
        </w:rPr>
        <w:t xml:space="preserve"> </w:t>
      </w:r>
    </w:p>
    <w:p w14:paraId="7BD2C5D3" w14:textId="77777777" w:rsidR="00965BB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队长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：学校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、姓名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、项目分工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p w14:paraId="3C3D0E76" w14:textId="77777777" w:rsidR="00965BB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成员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：学校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、姓名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、项目分工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</w:p>
    <w:p w14:paraId="6FB75D67" w14:textId="77777777" w:rsidR="00965BB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成员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：学校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、姓名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、项目分工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</w:p>
    <w:p w14:paraId="6BE99BE8" w14:textId="77777777" w:rsidR="00965BB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成员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：学校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、姓名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、项目分工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p w14:paraId="3A510482" w14:textId="77777777" w:rsidR="00965BB3" w:rsidRDefault="00965BB3">
      <w:pPr>
        <w:widowControl/>
        <w:jc w:val="left"/>
        <w:rPr>
          <w:b/>
          <w:sz w:val="28"/>
          <w:szCs w:val="28"/>
        </w:rPr>
      </w:pPr>
    </w:p>
    <w:p w14:paraId="1D79D622" w14:textId="77777777" w:rsidR="00965BB3" w:rsidRDefault="00965BB3">
      <w:pPr>
        <w:widowControl/>
        <w:jc w:val="left"/>
        <w:rPr>
          <w:b/>
          <w:sz w:val="28"/>
          <w:szCs w:val="28"/>
        </w:rPr>
      </w:pPr>
    </w:p>
    <w:p w14:paraId="153B8B19" w14:textId="77777777" w:rsidR="00965BB3" w:rsidRDefault="00965BB3">
      <w:pPr>
        <w:widowControl/>
        <w:jc w:val="left"/>
        <w:rPr>
          <w:b/>
          <w:sz w:val="28"/>
          <w:szCs w:val="28"/>
        </w:rPr>
      </w:pPr>
    </w:p>
    <w:p w14:paraId="50E24DF0" w14:textId="77777777" w:rsidR="00965BB3" w:rsidRDefault="00000000">
      <w:pPr>
        <w:pStyle w:val="TOC1"/>
        <w:jc w:val="center"/>
        <w:rPr>
          <w:b w:val="0"/>
          <w:i w:val="0"/>
          <w:iCs/>
          <w:sz w:val="36"/>
          <w:szCs w:val="36"/>
        </w:rPr>
      </w:pPr>
      <w:r>
        <w:rPr>
          <w:rFonts w:hint="eastAsia"/>
          <w:b w:val="0"/>
          <w:i w:val="0"/>
          <w:iCs/>
          <w:sz w:val="36"/>
          <w:szCs w:val="36"/>
        </w:rPr>
        <w:lastRenderedPageBreak/>
        <w:t>市场营销方案策划书（参考）</w:t>
      </w:r>
    </w:p>
    <w:p w14:paraId="7862307D" w14:textId="77777777" w:rsidR="00965BB3" w:rsidRDefault="00965BB3"/>
    <w:p w14:paraId="5AC408CB" w14:textId="77777777" w:rsidR="00965BB3" w:rsidRDefault="00000000">
      <w:pPr>
        <w:pStyle w:val="TOC1"/>
      </w:pPr>
      <w:r>
        <w:rPr>
          <w:rFonts w:hint="eastAsia"/>
          <w:i w:val="0"/>
          <w:iCs/>
        </w:rPr>
        <w:t>1  目标市场</w:t>
      </w:r>
      <w:r>
        <w:rPr>
          <w:rFonts w:hint="eastAsia"/>
        </w:rPr>
        <w:tab/>
        <w:t>6</w:t>
      </w:r>
    </w:p>
    <w:p w14:paraId="4E27895E" w14:textId="77777777" w:rsidR="00965BB3" w:rsidRDefault="00000000">
      <w:pPr>
        <w:pStyle w:val="TOC2"/>
      </w:pPr>
      <w:r>
        <w:rPr>
          <w:rFonts w:hint="eastAsia"/>
        </w:rPr>
        <w:t xml:space="preserve">1.1  </w:t>
      </w:r>
      <w:r>
        <w:rPr>
          <w:rFonts w:hint="eastAsia"/>
        </w:rPr>
        <w:t>消费潜力</w:t>
      </w:r>
      <w:r>
        <w:rPr>
          <w:rFonts w:hint="eastAsia"/>
        </w:rPr>
        <w:tab/>
        <w:t>6</w:t>
      </w:r>
    </w:p>
    <w:p w14:paraId="6FA09044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1.1.1  </w:t>
      </w:r>
      <w:r>
        <w:rPr>
          <w:rFonts w:hint="eastAsia"/>
          <w:i w:val="0"/>
          <w:iCs w:val="0"/>
        </w:rPr>
        <w:t>消费容量</w:t>
      </w:r>
      <w:r>
        <w:rPr>
          <w:rFonts w:hint="eastAsia"/>
          <w:i w:val="0"/>
          <w:iCs w:val="0"/>
        </w:rPr>
        <w:tab/>
        <w:t>6</w:t>
      </w:r>
    </w:p>
    <w:p w14:paraId="4A02FC28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1.1.2  </w:t>
      </w:r>
      <w:r>
        <w:rPr>
          <w:rFonts w:hint="eastAsia"/>
          <w:i w:val="0"/>
          <w:iCs w:val="0"/>
        </w:rPr>
        <w:t>购买能力</w:t>
      </w:r>
      <w:r>
        <w:rPr>
          <w:rFonts w:hint="eastAsia"/>
          <w:i w:val="0"/>
          <w:iCs w:val="0"/>
        </w:rPr>
        <w:tab/>
        <w:t>6</w:t>
      </w:r>
    </w:p>
    <w:p w14:paraId="4EE1D9D3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1.1.3  </w:t>
      </w:r>
      <w:r>
        <w:rPr>
          <w:rFonts w:hint="eastAsia"/>
          <w:i w:val="0"/>
          <w:iCs w:val="0"/>
        </w:rPr>
        <w:t>消费风格</w:t>
      </w:r>
      <w:r>
        <w:rPr>
          <w:rFonts w:hint="eastAsia"/>
          <w:i w:val="0"/>
          <w:iCs w:val="0"/>
        </w:rPr>
        <w:tab/>
        <w:t>6</w:t>
      </w:r>
    </w:p>
    <w:p w14:paraId="434134ED" w14:textId="77777777" w:rsidR="00965BB3" w:rsidRDefault="00000000">
      <w:pPr>
        <w:pStyle w:val="TOC2"/>
      </w:pPr>
      <w:r>
        <w:rPr>
          <w:rFonts w:hint="eastAsia"/>
        </w:rPr>
        <w:t xml:space="preserve">1.2  </w:t>
      </w:r>
      <w:r>
        <w:rPr>
          <w:rFonts w:hint="eastAsia"/>
        </w:rPr>
        <w:t>竞争情况</w:t>
      </w:r>
      <w:r>
        <w:rPr>
          <w:rFonts w:hint="eastAsia"/>
        </w:rPr>
        <w:tab/>
        <w:t>6</w:t>
      </w:r>
    </w:p>
    <w:p w14:paraId="575278F8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1.2.1  </w:t>
      </w:r>
      <w:r>
        <w:rPr>
          <w:rFonts w:hint="eastAsia"/>
          <w:i w:val="0"/>
          <w:iCs w:val="0"/>
        </w:rPr>
        <w:t>竞争状况</w:t>
      </w:r>
      <w:r>
        <w:rPr>
          <w:rFonts w:hint="eastAsia"/>
          <w:i w:val="0"/>
          <w:iCs w:val="0"/>
        </w:rPr>
        <w:tab/>
        <w:t>6</w:t>
      </w:r>
    </w:p>
    <w:p w14:paraId="1F56E04C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1.2.2  </w:t>
      </w:r>
      <w:r>
        <w:rPr>
          <w:rFonts w:hint="eastAsia"/>
          <w:i w:val="0"/>
          <w:iCs w:val="0"/>
        </w:rPr>
        <w:t>潜在竞争</w:t>
      </w:r>
      <w:r>
        <w:rPr>
          <w:rFonts w:hint="eastAsia"/>
          <w:i w:val="0"/>
          <w:iCs w:val="0"/>
        </w:rPr>
        <w:tab/>
        <w:t>6</w:t>
      </w:r>
    </w:p>
    <w:p w14:paraId="45543557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1.2.3  </w:t>
      </w:r>
      <w:r>
        <w:rPr>
          <w:rFonts w:hint="eastAsia"/>
          <w:i w:val="0"/>
          <w:iCs w:val="0"/>
        </w:rPr>
        <w:t>竞争壁垒</w:t>
      </w:r>
      <w:r>
        <w:rPr>
          <w:rFonts w:hint="eastAsia"/>
          <w:i w:val="0"/>
          <w:iCs w:val="0"/>
        </w:rPr>
        <w:tab/>
        <w:t>6</w:t>
      </w:r>
    </w:p>
    <w:p w14:paraId="1295E783" w14:textId="77777777" w:rsidR="00965BB3" w:rsidRDefault="00000000">
      <w:pPr>
        <w:pStyle w:val="TOC1"/>
        <w:rPr>
          <w:i w:val="0"/>
          <w:iCs/>
        </w:rPr>
      </w:pPr>
      <w:r>
        <w:rPr>
          <w:rFonts w:hint="eastAsia"/>
          <w:i w:val="0"/>
          <w:iCs/>
        </w:rPr>
        <w:t>2  营销战略</w:t>
      </w:r>
      <w:r>
        <w:rPr>
          <w:rFonts w:hint="eastAsia"/>
          <w:i w:val="0"/>
          <w:iCs/>
        </w:rPr>
        <w:tab/>
        <w:t>6</w:t>
      </w:r>
    </w:p>
    <w:p w14:paraId="513DFC71" w14:textId="77777777" w:rsidR="00965BB3" w:rsidRDefault="00000000">
      <w:pPr>
        <w:pStyle w:val="TOC2"/>
      </w:pPr>
      <w:r>
        <w:rPr>
          <w:rFonts w:hint="eastAsia"/>
        </w:rPr>
        <w:t xml:space="preserve">2.1  </w:t>
      </w:r>
      <w:r>
        <w:rPr>
          <w:rFonts w:hint="eastAsia"/>
        </w:rPr>
        <w:t>产品策略</w:t>
      </w:r>
      <w:r>
        <w:rPr>
          <w:rFonts w:hint="eastAsia"/>
        </w:rPr>
        <w:tab/>
        <w:t>6</w:t>
      </w:r>
    </w:p>
    <w:p w14:paraId="55CC28E6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2.1.1  </w:t>
      </w:r>
      <w:r>
        <w:rPr>
          <w:rFonts w:hint="eastAsia"/>
          <w:i w:val="0"/>
          <w:iCs w:val="0"/>
        </w:rPr>
        <w:t>产品价值</w:t>
      </w:r>
      <w:r>
        <w:rPr>
          <w:rFonts w:hint="eastAsia"/>
          <w:i w:val="0"/>
          <w:iCs w:val="0"/>
        </w:rPr>
        <w:tab/>
        <w:t>6</w:t>
      </w:r>
    </w:p>
    <w:p w14:paraId="620E712E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2.1.2  </w:t>
      </w:r>
      <w:r>
        <w:rPr>
          <w:rFonts w:hint="eastAsia"/>
          <w:i w:val="0"/>
          <w:iCs w:val="0"/>
        </w:rPr>
        <w:t>需求程度</w:t>
      </w:r>
      <w:r>
        <w:rPr>
          <w:rFonts w:hint="eastAsia"/>
          <w:i w:val="0"/>
          <w:iCs w:val="0"/>
        </w:rPr>
        <w:tab/>
        <w:t>6</w:t>
      </w:r>
    </w:p>
    <w:p w14:paraId="00D9F611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2.1.3  </w:t>
      </w:r>
      <w:r>
        <w:rPr>
          <w:rFonts w:hint="eastAsia"/>
          <w:i w:val="0"/>
          <w:iCs w:val="0"/>
        </w:rPr>
        <w:t>入市良机</w:t>
      </w:r>
      <w:r>
        <w:rPr>
          <w:rFonts w:hint="eastAsia"/>
          <w:i w:val="0"/>
          <w:iCs w:val="0"/>
        </w:rPr>
        <w:tab/>
        <w:t>6</w:t>
      </w:r>
    </w:p>
    <w:p w14:paraId="2EE80C83" w14:textId="77777777" w:rsidR="00965BB3" w:rsidRDefault="00000000">
      <w:pPr>
        <w:pStyle w:val="TOC2"/>
      </w:pPr>
      <w:r>
        <w:rPr>
          <w:rFonts w:hint="eastAsia"/>
        </w:rPr>
        <w:t xml:space="preserve">2.2  </w:t>
      </w:r>
      <w:r>
        <w:rPr>
          <w:rFonts w:hint="eastAsia"/>
        </w:rPr>
        <w:t>价格策略</w:t>
      </w:r>
      <w:r>
        <w:rPr>
          <w:rFonts w:hint="eastAsia"/>
        </w:rPr>
        <w:tab/>
        <w:t>6</w:t>
      </w:r>
    </w:p>
    <w:p w14:paraId="539C1B0A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2.2.1  </w:t>
      </w:r>
      <w:r>
        <w:rPr>
          <w:rFonts w:hint="eastAsia"/>
          <w:i w:val="0"/>
          <w:iCs w:val="0"/>
        </w:rPr>
        <w:t>成本加成</w:t>
      </w:r>
      <w:r>
        <w:rPr>
          <w:rFonts w:hint="eastAsia"/>
          <w:i w:val="0"/>
          <w:iCs w:val="0"/>
        </w:rPr>
        <w:tab/>
        <w:t>6</w:t>
      </w:r>
    </w:p>
    <w:p w14:paraId="695C5380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2.2.2  </w:t>
      </w:r>
      <w:r>
        <w:rPr>
          <w:rFonts w:hint="eastAsia"/>
          <w:i w:val="0"/>
          <w:iCs w:val="0"/>
        </w:rPr>
        <w:t>跟随目标</w:t>
      </w:r>
      <w:r>
        <w:rPr>
          <w:rFonts w:hint="eastAsia"/>
          <w:i w:val="0"/>
          <w:iCs w:val="0"/>
        </w:rPr>
        <w:tab/>
        <w:t>6</w:t>
      </w:r>
    </w:p>
    <w:p w14:paraId="5B57459E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2.2.3  </w:t>
      </w:r>
      <w:r>
        <w:rPr>
          <w:rFonts w:hint="eastAsia"/>
          <w:i w:val="0"/>
          <w:iCs w:val="0"/>
        </w:rPr>
        <w:t>供需定价</w:t>
      </w:r>
      <w:r>
        <w:rPr>
          <w:rFonts w:hint="eastAsia"/>
          <w:i w:val="0"/>
          <w:iCs w:val="0"/>
        </w:rPr>
        <w:tab/>
        <w:t>6</w:t>
      </w:r>
    </w:p>
    <w:p w14:paraId="5BC78D5E" w14:textId="77777777" w:rsidR="00965BB3" w:rsidRDefault="00000000">
      <w:pPr>
        <w:pStyle w:val="TOC2"/>
      </w:pPr>
      <w:r>
        <w:rPr>
          <w:rFonts w:hint="eastAsia"/>
        </w:rPr>
        <w:t xml:space="preserve">2.3  </w:t>
      </w:r>
      <w:r>
        <w:rPr>
          <w:rFonts w:hint="eastAsia"/>
        </w:rPr>
        <w:t>渠道策略</w:t>
      </w:r>
      <w:r>
        <w:rPr>
          <w:rFonts w:hint="eastAsia"/>
        </w:rPr>
        <w:tab/>
        <w:t>6</w:t>
      </w:r>
    </w:p>
    <w:p w14:paraId="7974BAC9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2.3.1  </w:t>
      </w:r>
      <w:r>
        <w:rPr>
          <w:rFonts w:hint="eastAsia"/>
          <w:i w:val="0"/>
          <w:iCs w:val="0"/>
        </w:rPr>
        <w:t>纵向扁平渠道</w:t>
      </w:r>
      <w:r>
        <w:rPr>
          <w:rFonts w:hint="eastAsia"/>
          <w:i w:val="0"/>
          <w:iCs w:val="0"/>
        </w:rPr>
        <w:tab/>
        <w:t>6</w:t>
      </w:r>
    </w:p>
    <w:p w14:paraId="105AFC59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2.3.2  </w:t>
      </w:r>
      <w:r>
        <w:rPr>
          <w:rFonts w:hint="eastAsia"/>
          <w:i w:val="0"/>
          <w:iCs w:val="0"/>
        </w:rPr>
        <w:t>代理</w:t>
      </w:r>
      <w:r>
        <w:rPr>
          <w:rFonts w:hint="eastAsia"/>
          <w:i w:val="0"/>
          <w:iCs w:val="0"/>
        </w:rPr>
        <w:tab/>
        <w:t>6</w:t>
      </w:r>
    </w:p>
    <w:p w14:paraId="2C78D3A1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2.3.3  </w:t>
      </w:r>
      <w:r>
        <w:rPr>
          <w:rFonts w:hint="eastAsia"/>
          <w:i w:val="0"/>
          <w:iCs w:val="0"/>
        </w:rPr>
        <w:t>分级经销</w:t>
      </w:r>
      <w:r>
        <w:rPr>
          <w:rFonts w:hint="eastAsia"/>
          <w:i w:val="0"/>
          <w:iCs w:val="0"/>
        </w:rPr>
        <w:tab/>
        <w:t>6</w:t>
      </w:r>
    </w:p>
    <w:p w14:paraId="3FD43496" w14:textId="77777777" w:rsidR="00965BB3" w:rsidRDefault="00000000">
      <w:pPr>
        <w:pStyle w:val="TOC2"/>
      </w:pPr>
      <w:r>
        <w:rPr>
          <w:rFonts w:hint="eastAsia"/>
        </w:rPr>
        <w:t xml:space="preserve">2.4  </w:t>
      </w:r>
      <w:r>
        <w:rPr>
          <w:rFonts w:hint="eastAsia"/>
        </w:rPr>
        <w:t>促销策略</w:t>
      </w:r>
      <w:r>
        <w:rPr>
          <w:rFonts w:hint="eastAsia"/>
        </w:rPr>
        <w:tab/>
        <w:t>6</w:t>
      </w:r>
    </w:p>
    <w:p w14:paraId="76B357D6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2.4.1  </w:t>
      </w:r>
      <w:r>
        <w:rPr>
          <w:rFonts w:hint="eastAsia"/>
          <w:i w:val="0"/>
          <w:iCs w:val="0"/>
        </w:rPr>
        <w:t>广告营销</w:t>
      </w:r>
      <w:r>
        <w:rPr>
          <w:rFonts w:hint="eastAsia"/>
          <w:i w:val="0"/>
          <w:iCs w:val="0"/>
        </w:rPr>
        <w:tab/>
        <w:t>6</w:t>
      </w:r>
    </w:p>
    <w:p w14:paraId="38F4D81E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2.4.2  </w:t>
      </w:r>
      <w:r>
        <w:rPr>
          <w:rFonts w:hint="eastAsia"/>
          <w:i w:val="0"/>
          <w:iCs w:val="0"/>
        </w:rPr>
        <w:t>营业推广</w:t>
      </w:r>
      <w:r>
        <w:rPr>
          <w:rFonts w:hint="eastAsia"/>
          <w:i w:val="0"/>
          <w:iCs w:val="0"/>
        </w:rPr>
        <w:tab/>
        <w:t>6</w:t>
      </w:r>
    </w:p>
    <w:p w14:paraId="0BB29E72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2.4.3  </w:t>
      </w:r>
      <w:r>
        <w:rPr>
          <w:rFonts w:hint="eastAsia"/>
          <w:i w:val="0"/>
          <w:iCs w:val="0"/>
        </w:rPr>
        <w:t>价格促销</w:t>
      </w:r>
      <w:r>
        <w:rPr>
          <w:rFonts w:hint="eastAsia"/>
          <w:i w:val="0"/>
          <w:iCs w:val="0"/>
        </w:rPr>
        <w:tab/>
        <w:t>6</w:t>
      </w:r>
    </w:p>
    <w:p w14:paraId="771057E3" w14:textId="77777777" w:rsidR="00965BB3" w:rsidRDefault="00000000">
      <w:pPr>
        <w:pStyle w:val="TOC1"/>
        <w:rPr>
          <w:i w:val="0"/>
          <w:iCs/>
        </w:rPr>
      </w:pPr>
      <w:r>
        <w:rPr>
          <w:rFonts w:hint="eastAsia"/>
          <w:i w:val="0"/>
          <w:iCs/>
        </w:rPr>
        <w:t>3  盈利模式</w:t>
      </w:r>
      <w:r>
        <w:rPr>
          <w:rFonts w:hint="eastAsia"/>
          <w:i w:val="0"/>
          <w:iCs/>
        </w:rPr>
        <w:tab/>
        <w:t>6</w:t>
      </w:r>
    </w:p>
    <w:p w14:paraId="4BE515AB" w14:textId="77777777" w:rsidR="00965BB3" w:rsidRDefault="00000000">
      <w:pPr>
        <w:pStyle w:val="TOC2"/>
      </w:pPr>
      <w:r>
        <w:rPr>
          <w:rFonts w:hint="eastAsia"/>
        </w:rPr>
        <w:t xml:space="preserve">3.1  </w:t>
      </w:r>
      <w:r>
        <w:rPr>
          <w:rFonts w:hint="eastAsia"/>
        </w:rPr>
        <w:t>成本结构</w:t>
      </w:r>
      <w:r>
        <w:rPr>
          <w:rFonts w:hint="eastAsia"/>
        </w:rPr>
        <w:tab/>
        <w:t>6</w:t>
      </w:r>
    </w:p>
    <w:p w14:paraId="3A3B96D6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3.1.1  </w:t>
      </w:r>
      <w:r>
        <w:rPr>
          <w:rFonts w:hint="eastAsia"/>
          <w:i w:val="0"/>
          <w:iCs w:val="0"/>
        </w:rPr>
        <w:t>原料成本</w:t>
      </w:r>
      <w:r>
        <w:rPr>
          <w:rFonts w:hint="eastAsia"/>
          <w:i w:val="0"/>
          <w:iCs w:val="0"/>
        </w:rPr>
        <w:tab/>
        <w:t>6</w:t>
      </w:r>
    </w:p>
    <w:p w14:paraId="04043245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3.1.2  </w:t>
      </w:r>
      <w:r>
        <w:rPr>
          <w:rFonts w:hint="eastAsia"/>
          <w:i w:val="0"/>
          <w:iCs w:val="0"/>
        </w:rPr>
        <w:t>人工成本</w:t>
      </w:r>
      <w:r>
        <w:rPr>
          <w:rFonts w:hint="eastAsia"/>
          <w:i w:val="0"/>
          <w:iCs w:val="0"/>
        </w:rPr>
        <w:tab/>
        <w:t>6</w:t>
      </w:r>
    </w:p>
    <w:p w14:paraId="003503C9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3.1.3  </w:t>
      </w:r>
      <w:r>
        <w:rPr>
          <w:rFonts w:hint="eastAsia"/>
          <w:i w:val="0"/>
          <w:iCs w:val="0"/>
        </w:rPr>
        <w:t>营业外支出</w:t>
      </w:r>
      <w:r>
        <w:rPr>
          <w:rFonts w:hint="eastAsia"/>
          <w:i w:val="0"/>
          <w:iCs w:val="0"/>
        </w:rPr>
        <w:tab/>
        <w:t>6</w:t>
      </w:r>
    </w:p>
    <w:p w14:paraId="1848DA90" w14:textId="77777777" w:rsidR="00965BB3" w:rsidRDefault="00000000">
      <w:pPr>
        <w:pStyle w:val="TOC2"/>
      </w:pPr>
      <w:r>
        <w:rPr>
          <w:rFonts w:hint="eastAsia"/>
        </w:rPr>
        <w:t xml:space="preserve">3.2  </w:t>
      </w:r>
      <w:r>
        <w:rPr>
          <w:rFonts w:hint="eastAsia"/>
        </w:rPr>
        <w:t>收入来源</w:t>
      </w:r>
      <w:r>
        <w:rPr>
          <w:rFonts w:hint="eastAsia"/>
        </w:rPr>
        <w:tab/>
        <w:t>6</w:t>
      </w:r>
    </w:p>
    <w:p w14:paraId="69755835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lastRenderedPageBreak/>
        <w:t xml:space="preserve">3.2.1  </w:t>
      </w:r>
      <w:r>
        <w:rPr>
          <w:rFonts w:hint="eastAsia"/>
          <w:i w:val="0"/>
          <w:iCs w:val="0"/>
        </w:rPr>
        <w:t>主要客户</w:t>
      </w:r>
      <w:r>
        <w:rPr>
          <w:rFonts w:hint="eastAsia"/>
          <w:i w:val="0"/>
          <w:iCs w:val="0"/>
        </w:rPr>
        <w:tab/>
        <w:t>6</w:t>
      </w:r>
    </w:p>
    <w:p w14:paraId="191B426E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3.2.2  </w:t>
      </w:r>
      <w:r>
        <w:rPr>
          <w:rFonts w:hint="eastAsia"/>
          <w:i w:val="0"/>
          <w:iCs w:val="0"/>
        </w:rPr>
        <w:t>主营收入</w:t>
      </w:r>
      <w:r>
        <w:rPr>
          <w:rFonts w:hint="eastAsia"/>
          <w:i w:val="0"/>
          <w:iCs w:val="0"/>
        </w:rPr>
        <w:tab/>
        <w:t>6</w:t>
      </w:r>
    </w:p>
    <w:p w14:paraId="48A3AD33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3.2.3  </w:t>
      </w:r>
      <w:r>
        <w:rPr>
          <w:rFonts w:hint="eastAsia"/>
          <w:i w:val="0"/>
          <w:iCs w:val="0"/>
        </w:rPr>
        <w:t>营业外收入</w:t>
      </w:r>
      <w:r>
        <w:rPr>
          <w:rFonts w:hint="eastAsia"/>
          <w:i w:val="0"/>
          <w:iCs w:val="0"/>
        </w:rPr>
        <w:tab/>
        <w:t>6</w:t>
      </w:r>
    </w:p>
    <w:p w14:paraId="2DF54A21" w14:textId="77777777" w:rsidR="00965BB3" w:rsidRDefault="00000000">
      <w:pPr>
        <w:pStyle w:val="TOC2"/>
      </w:pPr>
      <w:r>
        <w:rPr>
          <w:rFonts w:hint="eastAsia"/>
        </w:rPr>
        <w:t xml:space="preserve">3.3  </w:t>
      </w:r>
      <w:r>
        <w:rPr>
          <w:rFonts w:hint="eastAsia"/>
        </w:rPr>
        <w:t>目标效益</w:t>
      </w:r>
      <w:r>
        <w:rPr>
          <w:rFonts w:hint="eastAsia"/>
        </w:rPr>
        <w:tab/>
        <w:t>6</w:t>
      </w:r>
    </w:p>
    <w:p w14:paraId="3D21648F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3.3.1  </w:t>
      </w:r>
      <w:r>
        <w:rPr>
          <w:rFonts w:hint="eastAsia"/>
          <w:i w:val="0"/>
          <w:iCs w:val="0"/>
        </w:rPr>
        <w:t>年度收支情况</w:t>
      </w:r>
      <w:r>
        <w:rPr>
          <w:rFonts w:hint="eastAsia"/>
          <w:i w:val="0"/>
          <w:iCs w:val="0"/>
        </w:rPr>
        <w:tab/>
        <w:t>6</w:t>
      </w:r>
    </w:p>
    <w:p w14:paraId="7FD59CA8" w14:textId="77777777" w:rsidR="00965BB3" w:rsidRDefault="00000000">
      <w:pPr>
        <w:pStyle w:val="TOC3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3.3.2  </w:t>
      </w:r>
      <w:r>
        <w:rPr>
          <w:rFonts w:hint="eastAsia"/>
          <w:i w:val="0"/>
          <w:iCs w:val="0"/>
        </w:rPr>
        <w:t>实际数据或预测</w:t>
      </w:r>
      <w:r>
        <w:rPr>
          <w:rFonts w:hint="eastAsia"/>
          <w:i w:val="0"/>
          <w:iCs w:val="0"/>
        </w:rPr>
        <w:tab/>
        <w:t>6</w:t>
      </w:r>
    </w:p>
    <w:p w14:paraId="24BF1F4E" w14:textId="77777777" w:rsidR="00965BB3" w:rsidRDefault="00965BB3">
      <w:pPr>
        <w:pStyle w:val="TOC3"/>
        <w:rPr>
          <w:i w:val="0"/>
          <w:iCs w:val="0"/>
        </w:rPr>
      </w:pPr>
    </w:p>
    <w:p w14:paraId="76D91F31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6B654F1C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568EAC17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79E64001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790934EA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10CC2C75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5F718727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08838FF7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5BC8033F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12F1D4ED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p w14:paraId="0AD7CD63" w14:textId="77777777" w:rsidR="00965BB3" w:rsidRDefault="00965BB3">
      <w:pPr>
        <w:widowControl/>
        <w:spacing w:line="340" w:lineRule="atLeast"/>
        <w:jc w:val="left"/>
        <w:rPr>
          <w:b/>
          <w:sz w:val="28"/>
          <w:szCs w:val="28"/>
        </w:rPr>
      </w:pPr>
    </w:p>
    <w:sectPr w:rsidR="00965BB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2F45" w14:textId="77777777" w:rsidR="00D07D23" w:rsidRDefault="00D07D23">
      <w:r>
        <w:separator/>
      </w:r>
    </w:p>
  </w:endnote>
  <w:endnote w:type="continuationSeparator" w:id="0">
    <w:p w14:paraId="2EC78545" w14:textId="77777777" w:rsidR="00D07D23" w:rsidRDefault="00D0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66E" w14:textId="77777777" w:rsidR="00D07D23" w:rsidRDefault="00D07D23">
      <w:r>
        <w:separator/>
      </w:r>
    </w:p>
  </w:footnote>
  <w:footnote w:type="continuationSeparator" w:id="0">
    <w:p w14:paraId="71842319" w14:textId="77777777" w:rsidR="00D07D23" w:rsidRDefault="00D0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62EC" w14:textId="77777777" w:rsidR="00965BB3" w:rsidRDefault="00965BB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1212ED"/>
    <w:rsid w:val="00013468"/>
    <w:rsid w:val="0004041A"/>
    <w:rsid w:val="000B73DD"/>
    <w:rsid w:val="000C0F3E"/>
    <w:rsid w:val="00241B16"/>
    <w:rsid w:val="00256483"/>
    <w:rsid w:val="002702B2"/>
    <w:rsid w:val="003F202E"/>
    <w:rsid w:val="00410FE6"/>
    <w:rsid w:val="00485254"/>
    <w:rsid w:val="004C2B29"/>
    <w:rsid w:val="004C36C7"/>
    <w:rsid w:val="00555BB1"/>
    <w:rsid w:val="00584DBB"/>
    <w:rsid w:val="005E0869"/>
    <w:rsid w:val="00607024"/>
    <w:rsid w:val="00721D41"/>
    <w:rsid w:val="007646D7"/>
    <w:rsid w:val="00777FBD"/>
    <w:rsid w:val="007B58E1"/>
    <w:rsid w:val="00965BB3"/>
    <w:rsid w:val="009C6B44"/>
    <w:rsid w:val="009C7201"/>
    <w:rsid w:val="009F341C"/>
    <w:rsid w:val="00AE7E60"/>
    <w:rsid w:val="00BC442D"/>
    <w:rsid w:val="00C10916"/>
    <w:rsid w:val="00C131CA"/>
    <w:rsid w:val="00CF4701"/>
    <w:rsid w:val="00D07D23"/>
    <w:rsid w:val="00D24964"/>
    <w:rsid w:val="00D33F4C"/>
    <w:rsid w:val="00E639CE"/>
    <w:rsid w:val="00E70E85"/>
    <w:rsid w:val="00E831E2"/>
    <w:rsid w:val="00FD2254"/>
    <w:rsid w:val="0C15697D"/>
    <w:rsid w:val="217522B9"/>
    <w:rsid w:val="27730BF7"/>
    <w:rsid w:val="2FF52B27"/>
    <w:rsid w:val="32D3412D"/>
    <w:rsid w:val="45AB2B56"/>
    <w:rsid w:val="54F1649A"/>
    <w:rsid w:val="581212ED"/>
    <w:rsid w:val="5B1C24AE"/>
    <w:rsid w:val="6B820A1C"/>
    <w:rsid w:val="70F41353"/>
    <w:rsid w:val="7280717C"/>
    <w:rsid w:val="790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28873AE-142F-4091-9288-1B7B4109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a3">
    <w:name w:val="Plain Text"/>
    <w:basedOn w:val="a"/>
    <w:unhideWhenUsed/>
    <w:qFormat/>
    <w:rPr>
      <w:rFonts w:ascii="宋体" w:hAnsi="Courier New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TOC2">
    <w:name w:val="toc 2"/>
    <w:basedOn w:val="a"/>
    <w:next w:val="a"/>
    <w:qFormat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a8">
    <w:name w:val="Hyperlink"/>
    <w:basedOn w:val="a0"/>
    <w:qFormat/>
    <w:rPr>
      <w:color w:val="261CDC"/>
      <w:u w:val="single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579</Characters>
  <Application>Microsoft Office Word</Application>
  <DocSecurity>0</DocSecurity>
  <Lines>96</Lines>
  <Paragraphs>101</Paragraphs>
  <ScaleCrop>false</ScaleCrop>
  <Company>china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yongqing1984</dc:creator>
  <cp:lastModifiedBy>菲琪 字</cp:lastModifiedBy>
  <cp:revision>2</cp:revision>
  <cp:lastPrinted>2019-06-10T09:18:00Z</cp:lastPrinted>
  <dcterms:created xsi:type="dcterms:W3CDTF">2025-10-09T05:05:00Z</dcterms:created>
  <dcterms:modified xsi:type="dcterms:W3CDTF">2025-10-09T05:05:00Z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DCE5F8FFF8914166989C839294F46A58</vt:lpwstr>
  </property>
  <property fmtid="{D5CDD505-2E9C-101B-9397-08002B2CF9AE}" pid="4" name="KSOTemplateDocerSaveRecord">
    <vt:lpwstr>eyJoZGlkIjoiOThmYzE1NWJjY2IzZWVmMThkNDRhYTVhODJhNDAyZDAiLCJ1c2VySWQiOiI3OTYwNjUwMDYifQ==</vt:lpwstr>
  </property>
</Properties>
</file>